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B309" w14:textId="77777777" w:rsidR="00B50D8D" w:rsidRPr="0087487B" w:rsidRDefault="00B50D8D" w:rsidP="00B50D8D">
      <w:pPr>
        <w:pStyle w:val="CDIfootnotes"/>
      </w:pPr>
      <w:r w:rsidRPr="0087487B">
        <w:rPr>
          <w:i/>
          <w:iCs/>
        </w:rPr>
        <w:t>Communicable Diseases Intelligence</w:t>
      </w:r>
      <w:r w:rsidRPr="0087487B">
        <w:t xml:space="preserve">, Year </w:t>
      </w:r>
      <w:fldSimple w:instr=" DOCPROPERTY  Year  \* MERGEFORMAT ">
        <w:r w:rsidR="00035AAA" w:rsidRPr="0087487B">
          <w:t>2023</w:t>
        </w:r>
      </w:fldSimple>
      <w:r w:rsidRPr="0087487B">
        <w:t xml:space="preserve">, Volume </w:t>
      </w:r>
      <w:fldSimple w:instr=" DOCPROPERTY  Vol  \* MERGEFORMAT ">
        <w:r w:rsidR="00035AAA" w:rsidRPr="0087487B">
          <w:t>47</w:t>
        </w:r>
      </w:fldSimple>
    </w:p>
    <w:p w14:paraId="021B21C3" w14:textId="155A9DE7" w:rsidR="00B50D8D" w:rsidRPr="0087487B" w:rsidRDefault="00AC289D" w:rsidP="00B50D8D">
      <w:pPr>
        <w:pStyle w:val="CDIfootnotes"/>
      </w:pPr>
      <w:fldSimple w:instr=" DOCPROPERTY  DOI  \* MERGEFORMAT ">
        <w:r w:rsidR="007D5E84">
          <w:t>https://doi.org/10.33321/cdi.2023.47.48</w:t>
        </w:r>
      </w:fldSimple>
    </w:p>
    <w:p w14:paraId="65EADFDF" w14:textId="6696612B" w:rsidR="00B50D8D" w:rsidRPr="0087487B" w:rsidRDefault="00B50D8D" w:rsidP="00B50D8D">
      <w:pPr>
        <w:pStyle w:val="CDIfootnotes"/>
      </w:pPr>
      <w:r w:rsidRPr="0087487B">
        <w:t xml:space="preserve">Publication date: </w:t>
      </w:r>
      <w:fldSimple w:instr=" DOCPROPERTY  ePubDate  \* MERGEFORMAT ">
        <w:r w:rsidR="007D5E84">
          <w:t>19/10/2023</w:t>
        </w:r>
      </w:fldSimple>
    </w:p>
    <w:p w14:paraId="7E9B6A64" w14:textId="46B318CA" w:rsidR="00B50D8D" w:rsidRPr="0087487B" w:rsidRDefault="00797AB0" w:rsidP="00B50D8D">
      <w:pPr>
        <w:pStyle w:val="CDIfootnotes"/>
      </w:pPr>
      <w:hyperlink r:id="rId9" w:history="1">
        <w:r w:rsidR="00B50D8D" w:rsidRPr="0087487B">
          <w:rPr>
            <w:rStyle w:val="Hyperlink"/>
          </w:rPr>
          <w:t>http://health.gov.au/cdi</w:t>
        </w:r>
      </w:hyperlink>
      <w:r w:rsidR="00B50D8D" w:rsidRPr="0087487B">
        <w:t xml:space="preserve"> </w:t>
      </w:r>
    </w:p>
    <w:p w14:paraId="7A0276D8" w14:textId="77777777" w:rsidR="00F605B4" w:rsidRPr="0087487B" w:rsidRDefault="00F605B4" w:rsidP="00863E2F">
      <w:pPr>
        <w:pStyle w:val="Title"/>
        <w:divId w:val="448665177"/>
        <w:rPr>
          <w:rFonts w:eastAsia="Times New Roman"/>
          <w:sz w:val="48"/>
          <w:szCs w:val="48"/>
        </w:rPr>
      </w:pPr>
      <w:r w:rsidRPr="0087487B">
        <w:rPr>
          <w:rFonts w:eastAsia="Times New Roman"/>
        </w:rPr>
        <w:t xml:space="preserve">Australian recommendations for the management of drug-resistant tuberculosis, 2023 </w:t>
      </w:r>
    </w:p>
    <w:p w14:paraId="4B9625E4" w14:textId="77777777" w:rsidR="00F605B4" w:rsidRPr="0087487B" w:rsidRDefault="00F605B4">
      <w:pPr>
        <w:pStyle w:val="NormalWeb"/>
        <w:divId w:val="448665177"/>
      </w:pPr>
      <w:r w:rsidRPr="0087487B">
        <w:t xml:space="preserve">Richard Stapledon, Ellen </w:t>
      </w:r>
      <w:proofErr w:type="gramStart"/>
      <w:r w:rsidRPr="0087487B">
        <w:t>Donnan</w:t>
      </w:r>
      <w:proofErr w:type="gramEnd"/>
      <w:r w:rsidRPr="0087487B">
        <w:t xml:space="preserve"> and the National Tuberculosis Advisory Committee </w:t>
      </w:r>
    </w:p>
    <w:p w14:paraId="11BF27DF" w14:textId="58131F17" w:rsidR="00583E1E" w:rsidRPr="0087487B" w:rsidRDefault="00583E1E">
      <w:pPr>
        <w:pStyle w:val="NormalWeb"/>
        <w:divId w:val="448665177"/>
      </w:pPr>
      <w:r w:rsidRPr="0087487B">
        <w:rPr>
          <w:noProof/>
        </w:rPr>
        <mc:AlternateContent>
          <mc:Choice Requires="wps">
            <w:drawing>
              <wp:inline distT="0" distB="0" distL="0" distR="0" wp14:anchorId="709C9EED" wp14:editId="587813E7">
                <wp:extent cx="6629400" cy="1404620"/>
                <wp:effectExtent l="0" t="0" r="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7ECDD"/>
                        </a:solidFill>
                        <a:ln w="3175">
                          <a:noFill/>
                          <a:miter lim="800000"/>
                          <a:headEnd/>
                          <a:tailEnd/>
                        </a:ln>
                      </wps:spPr>
                      <wps:txbx>
                        <w:txbxContent>
                          <w:p w14:paraId="02546867" w14:textId="77777777" w:rsidR="00A0507C" w:rsidRDefault="00A0507C" w:rsidP="00A0507C">
                            <w:pPr>
                              <w:pStyle w:val="Heading1"/>
                              <w:spacing w:before="240"/>
                              <w:rPr>
                                <w:rFonts w:eastAsia="Times New Roman"/>
                              </w:rPr>
                            </w:pPr>
                            <w:r>
                              <w:rPr>
                                <w:rFonts w:eastAsia="Times New Roman"/>
                              </w:rPr>
                              <w:t xml:space="preserve">Summary recommendations </w:t>
                            </w:r>
                          </w:p>
                          <w:p w14:paraId="7B35E6FF" w14:textId="77777777" w:rsidR="00A0507C" w:rsidRDefault="00A0507C" w:rsidP="000F29CD">
                            <w:r>
                              <w:t>Recent updates in international guidance on the treatment of drug-resistant tuberculosis (DR-TB) in both adults and children reflect significant advances in laboratory diagnostics, strengthened evidence for newer all oral treatment options and an emphasis on patient-centred care and support. The use of injectable agents is no longer recommended in either the shorter or longer course regimens, unless there is no suitable alternative to ensure an effective regimen.</w:t>
                            </w:r>
                            <w:r>
                              <w:rPr>
                                <w:vertAlign w:val="superscript"/>
                              </w:rPr>
                              <w:t>1–</w:t>
                            </w:r>
                            <w:proofErr w:type="gramStart"/>
                            <w:r>
                              <w:rPr>
                                <w:vertAlign w:val="superscript"/>
                              </w:rPr>
                              <w:t>8</w:t>
                            </w:r>
                            <w:proofErr w:type="gramEnd"/>
                            <w:r>
                              <w:t xml:space="preserve"> </w:t>
                            </w:r>
                          </w:p>
                          <w:p w14:paraId="5DEBAB97" w14:textId="0E7C36A5" w:rsidR="00A0507C" w:rsidRDefault="00A0507C" w:rsidP="000F29CD">
                            <w:r>
                              <w:t>The following summary recommendations for the management of DR-TB are based largely on the most up to date World Health Organization (WHO) and ATS/CDC/ERS/</w:t>
                            </w:r>
                            <w:proofErr w:type="spellStart"/>
                            <w:r>
                              <w:t>IDSA</w:t>
                            </w:r>
                            <w:r w:rsidR="00DF76D8" w:rsidRPr="00DF76D8">
                              <w:rPr>
                                <w:vertAlign w:val="superscript"/>
                              </w:rPr>
                              <w:t>i</w:t>
                            </w:r>
                            <w:proofErr w:type="spellEnd"/>
                            <w:r>
                              <w:t xml:space="preserve"> guidance.</w:t>
                            </w:r>
                            <w:r>
                              <w:rPr>
                                <w:vertAlign w:val="superscript"/>
                              </w:rPr>
                              <w:t>1,3–6</w:t>
                            </w:r>
                            <w:r>
                              <w:t xml:space="preserve"> Although most of the recommendations are conditional reflecting limited evidence, assessments by WHO guideline development groups comprising international TB experts and results from recent clinical trials (TB PRACTECAL, </w:t>
                            </w:r>
                            <w:proofErr w:type="spellStart"/>
                            <w:r>
                              <w:t>ZeNix</w:t>
                            </w:r>
                            <w:proofErr w:type="spellEnd"/>
                            <w:r>
                              <w:t>) support the recommended use of the newer drugs and regimens.</w:t>
                            </w:r>
                            <w:r>
                              <w:rPr>
                                <w:vertAlign w:val="superscript"/>
                              </w:rPr>
                              <w:t>1–4,9–11</w:t>
                            </w:r>
                            <w:r>
                              <w:t xml:space="preserve"> The implementation of these newer regimens should be subject to expert oversight at the case management level, careful patient selection, a strong emphasis on monitoring for adverse drug effects and close involvement of the patient in the decision-making process. </w:t>
                            </w:r>
                          </w:p>
                          <w:p w14:paraId="1EE48194" w14:textId="55F8A4DC" w:rsidR="00583E1E" w:rsidRPr="00483625" w:rsidRDefault="00A0507C" w:rsidP="000F29CD">
                            <w:r>
                              <w:t xml:space="preserve">It is important to acknowledge that this is a rapidly evolving area with further changes to treatment options </w:t>
                            </w:r>
                            <w:proofErr w:type="gramStart"/>
                            <w:r>
                              <w:t>anticipated</w:t>
                            </w:r>
                            <w:proofErr w:type="gramEnd"/>
                            <w:r>
                              <w:t xml:space="preserve"> in the next few years.</w:t>
                            </w:r>
                          </w:p>
                        </w:txbxContent>
                      </wps:txbx>
                      <wps:bodyPr rot="0" vert="horz" wrap="square" lIns="91440" tIns="45720" rIns="91440" bIns="45720" anchor="t" anchorCtr="0">
                        <a:spAutoFit/>
                      </wps:bodyPr>
                    </wps:wsp>
                  </a:graphicData>
                </a:graphic>
              </wp:inline>
            </w:drawing>
          </mc:Choice>
          <mc:Fallback>
            <w:pict>
              <v:shapetype w14:anchorId="709C9EED" id="_x0000_t202" coordsize="21600,21600" o:spt="202" path="m,l,21600r21600,l21600,xe">
                <v:stroke joinstyle="miter"/>
                <v:path gradientshapeok="t" o:connecttype="rect"/>
              </v:shapetype>
              <v:shape id="Text Box 2" o:spid="_x0000_s1026"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" fillcolor="#f7ecdd" stroked="f" strokeweight=".25pt">
                <v:textbox style="mso-fit-shape-to-text:t">
                  <w:txbxContent>
                    <w:p w14:paraId="02546867" w14:textId="77777777" w:rsidR="00A0507C" w:rsidRDefault="00A0507C" w:rsidP="00A0507C">
                      <w:pPr>
                        <w:pStyle w:val="Heading1"/>
                        <w:spacing w:before="240"/>
                        <w:rPr>
                          <w:rFonts w:eastAsia="Times New Roman"/>
                        </w:rPr>
                      </w:pPr>
                      <w:r>
                        <w:rPr>
                          <w:rFonts w:eastAsia="Times New Roman"/>
                        </w:rPr>
                        <w:t xml:space="preserve">Summary recommendations </w:t>
                      </w:r>
                    </w:p>
                    <w:p w14:paraId="7B35E6FF" w14:textId="77777777" w:rsidR="00A0507C" w:rsidRDefault="00A0507C" w:rsidP="000F29CD">
                      <w:r>
                        <w:t>Recent updates in international guidance on the treatment of drug-resistant tuberculosis (DR-TB) in both adults and children reflect significant advances in laboratory diagnostics, strengthened evidence for newer all oral treatment options and an emphasis on patient-centred care and support. The use of injectable agents is no longer recommended in either the shorter or longer course regimens, unless there is no suitable alternative to ensure an effective regimen.</w:t>
                      </w:r>
                      <w:r>
                        <w:rPr>
                          <w:vertAlign w:val="superscript"/>
                        </w:rPr>
                        <w:t>1–</w:t>
                      </w:r>
                      <w:proofErr w:type="gramStart"/>
                      <w:r>
                        <w:rPr>
                          <w:vertAlign w:val="superscript"/>
                        </w:rPr>
                        <w:t>8</w:t>
                      </w:r>
                      <w:proofErr w:type="gramEnd"/>
                      <w:r>
                        <w:t xml:space="preserve"> </w:t>
                      </w:r>
                    </w:p>
                    <w:p w14:paraId="5DEBAB97" w14:textId="0E7C36A5" w:rsidR="00A0507C" w:rsidRDefault="00A0507C" w:rsidP="000F29CD">
                      <w:r>
                        <w:t>The following summary recommendations for the management of DR-TB are based largely on the most up to date World Health Organization (WHO) and ATS/CDC/ERS/</w:t>
                      </w:r>
                      <w:proofErr w:type="spellStart"/>
                      <w:r>
                        <w:t>IDSA</w:t>
                      </w:r>
                      <w:r w:rsidR="00DF76D8" w:rsidRPr="00DF76D8">
                        <w:rPr>
                          <w:vertAlign w:val="superscript"/>
                        </w:rPr>
                        <w:t>i</w:t>
                      </w:r>
                      <w:proofErr w:type="spellEnd"/>
                      <w:r>
                        <w:t xml:space="preserve"> guidance.</w:t>
                      </w:r>
                      <w:r>
                        <w:rPr>
                          <w:vertAlign w:val="superscript"/>
                        </w:rPr>
                        <w:t>1,3–6</w:t>
                      </w:r>
                      <w:r>
                        <w:t xml:space="preserve"> Although most of the recommendations are conditional reflecting limited evidence, assessments by WHO guideline development groups comprising international TB experts and results from recent clinical trials (TB PRACTECAL, </w:t>
                      </w:r>
                      <w:proofErr w:type="spellStart"/>
                      <w:r>
                        <w:t>ZeNix</w:t>
                      </w:r>
                      <w:proofErr w:type="spellEnd"/>
                      <w:r>
                        <w:t>) support the recommended use of the newer drugs and regimens.</w:t>
                      </w:r>
                      <w:r>
                        <w:rPr>
                          <w:vertAlign w:val="superscript"/>
                        </w:rPr>
                        <w:t>1–4,9–11</w:t>
                      </w:r>
                      <w:r>
                        <w:t xml:space="preserve"> The implementation of these newer regimens should be subject to expert oversight at the case management level, careful patient selection, a strong emphasis on monitoring for adverse drug effects and close involvement of the patient in the decision-making process. </w:t>
                      </w:r>
                    </w:p>
                    <w:p w14:paraId="1EE48194" w14:textId="55F8A4DC" w:rsidR="00583E1E" w:rsidRPr="00483625" w:rsidRDefault="00A0507C" w:rsidP="000F29CD">
                      <w:r>
                        <w:t xml:space="preserve">It is important to acknowledge that this is a rapidly evolving area with further changes to treatment options </w:t>
                      </w:r>
                      <w:proofErr w:type="gramStart"/>
                      <w:r>
                        <w:t>anticipated</w:t>
                      </w:r>
                      <w:proofErr w:type="gramEnd"/>
                      <w:r>
                        <w:t xml:space="preserve"> in the next few years.</w:t>
                      </w:r>
                    </w:p>
                  </w:txbxContent>
                </v:textbox>
                <w10:anchorlock/>
              </v:shape>
            </w:pict>
          </mc:Fallback>
        </mc:AlternateContent>
      </w:r>
    </w:p>
    <w:p w14:paraId="4202FAB7" w14:textId="4470FB01" w:rsidR="00E47D50" w:rsidRPr="0087487B" w:rsidRDefault="00E47D50" w:rsidP="00E47D50">
      <w:pPr>
        <w:pStyle w:val="CDIfootnotes"/>
        <w:divId w:val="448665177"/>
      </w:pPr>
      <w:proofErr w:type="spellStart"/>
      <w:r w:rsidRPr="0087487B">
        <w:t>i</w:t>
      </w:r>
      <w:proofErr w:type="spellEnd"/>
      <w:r w:rsidRPr="0087487B">
        <w:tab/>
        <w:t xml:space="preserve">American Thoracic Society, United States </w:t>
      </w:r>
      <w:proofErr w:type="spellStart"/>
      <w:r w:rsidRPr="0087487B">
        <w:t>Centers</w:t>
      </w:r>
      <w:proofErr w:type="spellEnd"/>
      <w:r w:rsidRPr="0087487B">
        <w:t xml:space="preserve"> for Disease Control and Prevention, European Respiratory Society, Infectious Diseases Society of America.</w:t>
      </w:r>
    </w:p>
    <w:p w14:paraId="44E09172" w14:textId="77777777" w:rsidR="00E47D50" w:rsidRPr="0087487B" w:rsidRDefault="00E47D50">
      <w:pPr>
        <w:rPr>
          <w:rFonts w:asciiTheme="majorHAnsi" w:eastAsia="Times New Roman" w:hAnsiTheme="majorHAnsi" w:cstheme="majorBidi"/>
          <w:b/>
          <w:bCs/>
          <w:sz w:val="32"/>
          <w:szCs w:val="28"/>
        </w:rPr>
      </w:pPr>
      <w:r w:rsidRPr="0087487B">
        <w:rPr>
          <w:rFonts w:eastAsia="Times New Roman"/>
        </w:rPr>
        <w:br w:type="page"/>
      </w:r>
    </w:p>
    <w:p w14:paraId="2219D40D" w14:textId="3D5A1B92" w:rsidR="00F605B4" w:rsidRPr="0087487B" w:rsidRDefault="00F605B4">
      <w:pPr>
        <w:pStyle w:val="Heading1"/>
        <w:divId w:val="448665177"/>
        <w:rPr>
          <w:rFonts w:eastAsia="Times New Roman"/>
        </w:rPr>
      </w:pPr>
      <w:r w:rsidRPr="0087487B">
        <w:rPr>
          <w:rFonts w:eastAsia="Times New Roman"/>
        </w:rPr>
        <w:lastRenderedPageBreak/>
        <w:t xml:space="preserve">Standards of practice and care </w:t>
      </w:r>
    </w:p>
    <w:p w14:paraId="53E8C911" w14:textId="77777777" w:rsidR="00F605B4" w:rsidRPr="0087487B" w:rsidRDefault="00F605B4" w:rsidP="000F29CD">
      <w:pPr>
        <w:divId w:val="448665177"/>
      </w:pPr>
      <w:r w:rsidRPr="0087487B">
        <w:t xml:space="preserve">The following best practice standards </w:t>
      </w:r>
      <w:proofErr w:type="gramStart"/>
      <w:r w:rsidRPr="0087487B">
        <w:t>are considered</w:t>
      </w:r>
      <w:proofErr w:type="gramEnd"/>
      <w:r w:rsidRPr="0087487B">
        <w:t xml:space="preserve"> a pre-requisite to the management of DR-TB cases in the Australian context. </w:t>
      </w:r>
    </w:p>
    <w:p w14:paraId="247682EB" w14:textId="77777777" w:rsidR="00F605B4" w:rsidRPr="0087487B" w:rsidRDefault="00F605B4" w:rsidP="00934C63">
      <w:pPr>
        <w:numPr>
          <w:ilvl w:val="0"/>
          <w:numId w:val="2"/>
        </w:numPr>
        <w:spacing w:before="100" w:beforeAutospacing="1" w:after="100" w:afterAutospacing="1" w:line="240" w:lineRule="auto"/>
        <w:divId w:val="448665177"/>
        <w:rPr>
          <w:rFonts w:eastAsia="Times New Roman"/>
        </w:rPr>
      </w:pPr>
      <w:r w:rsidRPr="0087487B">
        <w:rPr>
          <w:rFonts w:eastAsia="Times New Roman"/>
        </w:rPr>
        <w:t xml:space="preserve">Management of DR-TB cases should be based on a multi-disciplinary approach led by, or in close consultation with, an expert with DR-TB management experience. </w:t>
      </w:r>
    </w:p>
    <w:p w14:paraId="718940DE" w14:textId="77777777" w:rsidR="00F605B4" w:rsidRPr="0087487B" w:rsidRDefault="00F605B4" w:rsidP="00934C63">
      <w:pPr>
        <w:numPr>
          <w:ilvl w:val="0"/>
          <w:numId w:val="2"/>
        </w:numPr>
        <w:spacing w:before="100" w:beforeAutospacing="1" w:after="100" w:afterAutospacing="1" w:line="240" w:lineRule="auto"/>
        <w:divId w:val="448665177"/>
        <w:rPr>
          <w:rFonts w:eastAsia="Times New Roman"/>
        </w:rPr>
      </w:pPr>
      <w:r w:rsidRPr="0087487B">
        <w:rPr>
          <w:rFonts w:eastAsia="Times New Roman"/>
        </w:rPr>
        <w:t xml:space="preserve">Patient care and support measures include: </w:t>
      </w:r>
    </w:p>
    <w:p w14:paraId="0FCCD29A" w14:textId="77777777" w:rsidR="00120009" w:rsidRPr="0087487B" w:rsidRDefault="00F605B4" w:rsidP="00934C63">
      <w:pPr>
        <w:numPr>
          <w:ilvl w:val="1"/>
          <w:numId w:val="23"/>
        </w:numPr>
        <w:spacing w:before="100" w:beforeAutospacing="1" w:after="100" w:afterAutospacing="1" w:line="240" w:lineRule="auto"/>
        <w:divId w:val="448665177"/>
        <w:rPr>
          <w:rFonts w:eastAsia="Times New Roman"/>
        </w:rPr>
      </w:pPr>
      <w:r w:rsidRPr="0087487B">
        <w:rPr>
          <w:rFonts w:eastAsia="Times New Roman"/>
        </w:rPr>
        <w:t xml:space="preserve">appropriate counselling and education about the diagnosis and the available treatment options, as well as the importance of regular monitoring to assess drug safety and clinical </w:t>
      </w:r>
      <w:proofErr w:type="gramStart"/>
      <w:r w:rsidRPr="0087487B">
        <w:rPr>
          <w:rFonts w:eastAsia="Times New Roman"/>
        </w:rPr>
        <w:t>progress</w:t>
      </w:r>
      <w:proofErr w:type="gramEnd"/>
    </w:p>
    <w:p w14:paraId="626BA7BC" w14:textId="77777777" w:rsidR="00517CC7" w:rsidRPr="0087487B" w:rsidRDefault="00F605B4" w:rsidP="00934C63">
      <w:pPr>
        <w:numPr>
          <w:ilvl w:val="1"/>
          <w:numId w:val="23"/>
        </w:numPr>
        <w:spacing w:before="100" w:beforeAutospacing="1" w:after="100" w:afterAutospacing="1" w:line="240" w:lineRule="auto"/>
        <w:divId w:val="448665177"/>
        <w:rPr>
          <w:rFonts w:eastAsia="Times New Roman"/>
        </w:rPr>
      </w:pPr>
      <w:r w:rsidRPr="0087487B">
        <w:rPr>
          <w:rFonts w:eastAsia="Times New Roman"/>
        </w:rPr>
        <w:t xml:space="preserve">a mutually agreed approach to supporting and monitoring treatment </w:t>
      </w:r>
      <w:proofErr w:type="gramStart"/>
      <w:r w:rsidRPr="0087487B">
        <w:rPr>
          <w:rFonts w:eastAsia="Times New Roman"/>
        </w:rPr>
        <w:t>adherence</w:t>
      </w:r>
      <w:proofErr w:type="gramEnd"/>
    </w:p>
    <w:p w14:paraId="3B867C52" w14:textId="77777777" w:rsidR="00A21039" w:rsidRPr="0087487B" w:rsidRDefault="00F605B4" w:rsidP="00934C63">
      <w:pPr>
        <w:numPr>
          <w:ilvl w:val="1"/>
          <w:numId w:val="23"/>
        </w:numPr>
        <w:spacing w:before="100" w:beforeAutospacing="1" w:after="100" w:afterAutospacing="1" w:line="240" w:lineRule="auto"/>
        <w:divId w:val="448665177"/>
        <w:rPr>
          <w:rFonts w:eastAsia="Times New Roman"/>
        </w:rPr>
      </w:pPr>
      <w:r w:rsidRPr="0087487B">
        <w:rPr>
          <w:rFonts w:eastAsia="Times New Roman"/>
        </w:rPr>
        <w:t>adequate social and psychological support</w:t>
      </w:r>
    </w:p>
    <w:p w14:paraId="398A7A23" w14:textId="2CD326DB" w:rsidR="00F605B4" w:rsidRPr="0087487B" w:rsidRDefault="00F605B4" w:rsidP="00934C63">
      <w:pPr>
        <w:numPr>
          <w:ilvl w:val="1"/>
          <w:numId w:val="23"/>
        </w:numPr>
        <w:spacing w:before="100" w:beforeAutospacing="1" w:after="100" w:afterAutospacing="1" w:line="240" w:lineRule="auto"/>
        <w:divId w:val="448665177"/>
        <w:rPr>
          <w:rFonts w:eastAsia="Times New Roman"/>
        </w:rPr>
      </w:pPr>
      <w:r w:rsidRPr="0087487B">
        <w:rPr>
          <w:rFonts w:eastAsia="Times New Roman"/>
        </w:rPr>
        <w:t xml:space="preserve">an assessment to evaluate ongoing healthcare needs, after DR-TB treatment completion. </w:t>
      </w:r>
    </w:p>
    <w:p w14:paraId="107C635D" w14:textId="77777777" w:rsidR="00F605B4" w:rsidRPr="0087487B" w:rsidRDefault="00F605B4" w:rsidP="00934C63">
      <w:pPr>
        <w:numPr>
          <w:ilvl w:val="0"/>
          <w:numId w:val="2"/>
        </w:numPr>
        <w:spacing w:before="100" w:beforeAutospacing="1" w:after="100" w:afterAutospacing="1" w:line="240" w:lineRule="auto"/>
        <w:divId w:val="448665177"/>
        <w:rPr>
          <w:rFonts w:eastAsia="Times New Roman"/>
        </w:rPr>
      </w:pPr>
      <w:r w:rsidRPr="0087487B">
        <w:rPr>
          <w:rFonts w:eastAsia="Times New Roman"/>
        </w:rPr>
        <w:t xml:space="preserve">Access to state-based TB reference laboratories for drug susceptibility testing (molecular and phenotypic) is essential to ensure the use of an effective regimen. </w:t>
      </w:r>
    </w:p>
    <w:p w14:paraId="0EFCA7AD" w14:textId="77777777" w:rsidR="00F605B4" w:rsidRPr="0087487B" w:rsidRDefault="00F605B4" w:rsidP="00934C63">
      <w:pPr>
        <w:numPr>
          <w:ilvl w:val="0"/>
          <w:numId w:val="2"/>
        </w:numPr>
        <w:spacing w:before="100" w:beforeAutospacing="1" w:after="100" w:afterAutospacing="1" w:line="240" w:lineRule="auto"/>
        <w:divId w:val="448665177"/>
        <w:rPr>
          <w:rFonts w:eastAsia="Times New Roman"/>
        </w:rPr>
      </w:pPr>
      <w:r w:rsidRPr="0087487B">
        <w:rPr>
          <w:rFonts w:eastAsia="Times New Roman"/>
        </w:rPr>
        <w:t xml:space="preserve">A drug procurement system that </w:t>
      </w:r>
      <w:proofErr w:type="gramStart"/>
      <w:r w:rsidRPr="0087487B">
        <w:rPr>
          <w:rFonts w:eastAsia="Times New Roman"/>
        </w:rPr>
        <w:t>provides</w:t>
      </w:r>
      <w:proofErr w:type="gramEnd"/>
      <w:r w:rsidRPr="0087487B">
        <w:rPr>
          <w:rStyle w:val="Strong"/>
          <w:rFonts w:eastAsia="Times New Roman"/>
        </w:rPr>
        <w:t xml:space="preserve"> </w:t>
      </w:r>
      <w:r w:rsidRPr="0087487B">
        <w:rPr>
          <w:rFonts w:eastAsia="Times New Roman"/>
        </w:rPr>
        <w:t xml:space="preserve">reliable and prompt access to quality-assured first- and second-line anti-TB drugs, facilitating the uptake of newer WHO endorsed regimens. </w:t>
      </w:r>
    </w:p>
    <w:p w14:paraId="0DB956DE" w14:textId="77777777" w:rsidR="00F605B4" w:rsidRPr="0087487B" w:rsidRDefault="00F605B4" w:rsidP="00934C63">
      <w:pPr>
        <w:numPr>
          <w:ilvl w:val="0"/>
          <w:numId w:val="2"/>
        </w:numPr>
        <w:spacing w:before="100" w:beforeAutospacing="1" w:after="100" w:afterAutospacing="1" w:line="240" w:lineRule="auto"/>
        <w:divId w:val="448665177"/>
        <w:rPr>
          <w:rFonts w:eastAsia="Times New Roman"/>
        </w:rPr>
      </w:pPr>
      <w:r w:rsidRPr="0087487B">
        <w:rPr>
          <w:rFonts w:eastAsia="Times New Roman"/>
        </w:rPr>
        <w:t xml:space="preserve">Access to therapeutic drug monitoring (TDM) to optimise drug exposure, especially to limit linezolid related adverse effects. </w:t>
      </w:r>
    </w:p>
    <w:p w14:paraId="1A462CE9" w14:textId="77777777" w:rsidR="00F605B4" w:rsidRPr="0087487B" w:rsidRDefault="00F605B4" w:rsidP="00934C63">
      <w:pPr>
        <w:numPr>
          <w:ilvl w:val="0"/>
          <w:numId w:val="2"/>
        </w:numPr>
        <w:spacing w:before="100" w:beforeAutospacing="1" w:after="100" w:afterAutospacing="1" w:line="240" w:lineRule="auto"/>
        <w:divId w:val="448665177"/>
        <w:rPr>
          <w:rFonts w:eastAsia="Times New Roman"/>
        </w:rPr>
      </w:pPr>
      <w:r w:rsidRPr="0087487B">
        <w:rPr>
          <w:rFonts w:eastAsia="Times New Roman"/>
        </w:rPr>
        <w:t xml:space="preserve">Participation in routine pharmacovigilance to </w:t>
      </w:r>
      <w:proofErr w:type="gramStart"/>
      <w:r w:rsidRPr="0087487B">
        <w:rPr>
          <w:rFonts w:eastAsia="Times New Roman"/>
        </w:rPr>
        <w:t>monitor</w:t>
      </w:r>
      <w:proofErr w:type="gramEnd"/>
      <w:r w:rsidRPr="0087487B">
        <w:rPr>
          <w:rFonts w:eastAsia="Times New Roman"/>
        </w:rPr>
        <w:t xml:space="preserve"> and inform on drug safety, particularly regarding the newer drugs.</w:t>
      </w:r>
    </w:p>
    <w:p w14:paraId="1135AB35" w14:textId="77777777" w:rsidR="00F605B4" w:rsidRPr="0087487B" w:rsidRDefault="00F605B4">
      <w:pPr>
        <w:pStyle w:val="Heading1"/>
        <w:divId w:val="448665177"/>
        <w:rPr>
          <w:rFonts w:eastAsia="Times New Roman"/>
        </w:rPr>
      </w:pPr>
      <w:r w:rsidRPr="0087487B">
        <w:rPr>
          <w:rFonts w:eastAsia="Times New Roman"/>
        </w:rPr>
        <w:t xml:space="preserve">Multidrug-resistant TB treatment regimens </w:t>
      </w:r>
    </w:p>
    <w:p w14:paraId="52F5CB72" w14:textId="77777777" w:rsidR="00F605B4" w:rsidRPr="0087487B" w:rsidRDefault="00F605B4" w:rsidP="000F29CD">
      <w:pPr>
        <w:divId w:val="448665177"/>
      </w:pPr>
      <w:r w:rsidRPr="0087487B">
        <w:t>All patients diagnosed with multidrug-resistant tuberculosis (MDR-TB) can now be considered for treatment with an all-oral shorter or longer course regimen.</w:t>
      </w:r>
      <w:r w:rsidRPr="0087487B">
        <w:rPr>
          <w:vertAlign w:val="superscript"/>
        </w:rPr>
        <w:t>1</w:t>
      </w:r>
      <w:r w:rsidRPr="0087487B">
        <w:t xml:space="preserve"> This also applies to those with </w:t>
      </w:r>
      <w:proofErr w:type="gramStart"/>
      <w:r w:rsidRPr="0087487B">
        <w:t>additional</w:t>
      </w:r>
      <w:proofErr w:type="gramEnd"/>
      <w:r w:rsidRPr="0087487B">
        <w:t xml:space="preserve"> resistance to a fluoroquinolone. The WHO guidance (2022) prioritises the use of a standardised shorter course regimen </w:t>
      </w:r>
      <w:proofErr w:type="gramStart"/>
      <w:r w:rsidRPr="0087487B">
        <w:t>providing</w:t>
      </w:r>
      <w:proofErr w:type="gramEnd"/>
      <w:r w:rsidRPr="0087487B">
        <w:t xml:space="preserve"> certain criteria are met. </w:t>
      </w:r>
    </w:p>
    <w:p w14:paraId="3A8AC149" w14:textId="77777777" w:rsidR="00F605B4" w:rsidRPr="0087487B" w:rsidRDefault="00F605B4" w:rsidP="000F29CD">
      <w:pPr>
        <w:divId w:val="448665177"/>
      </w:pPr>
      <w:r w:rsidRPr="0087487B">
        <w:t xml:space="preserve">The most up to date options recommended by the WHO (2022) are: </w:t>
      </w:r>
    </w:p>
    <w:p w14:paraId="7825E46F" w14:textId="77777777" w:rsidR="00F605B4" w:rsidRPr="0087487B" w:rsidRDefault="00F605B4" w:rsidP="0020585E">
      <w:pPr>
        <w:pStyle w:val="Heading2"/>
        <w:divId w:val="448665177"/>
      </w:pPr>
      <w:r w:rsidRPr="0087487B">
        <w:t xml:space="preserve">1. 6-month </w:t>
      </w:r>
      <w:proofErr w:type="spellStart"/>
      <w:r w:rsidRPr="0087487B">
        <w:t>BPaLM</w:t>
      </w:r>
      <w:proofErr w:type="spellEnd"/>
      <w:r w:rsidRPr="0087487B">
        <w:t xml:space="preserve"> regimen (fluoroquinolone susceptible): </w:t>
      </w:r>
    </w:p>
    <w:p w14:paraId="60B96B23" w14:textId="77777777" w:rsidR="00F605B4" w:rsidRPr="0087487B" w:rsidRDefault="00F605B4" w:rsidP="00934C63">
      <w:pPr>
        <w:numPr>
          <w:ilvl w:val="0"/>
          <w:numId w:val="3"/>
        </w:numPr>
        <w:spacing w:before="100" w:beforeAutospacing="1" w:after="100" w:afterAutospacing="1" w:line="240" w:lineRule="auto"/>
        <w:divId w:val="448665177"/>
        <w:rPr>
          <w:rFonts w:eastAsia="Times New Roman"/>
        </w:rPr>
      </w:pPr>
      <w:r w:rsidRPr="0087487B">
        <w:rPr>
          <w:rFonts w:eastAsia="Times New Roman"/>
        </w:rPr>
        <w:t xml:space="preserve">comprises </w:t>
      </w:r>
      <w:proofErr w:type="spellStart"/>
      <w:r w:rsidRPr="0087487B">
        <w:rPr>
          <w:rFonts w:eastAsia="Times New Roman"/>
        </w:rPr>
        <w:t>bedaquiline</w:t>
      </w:r>
      <w:proofErr w:type="spellEnd"/>
      <w:r w:rsidRPr="0087487B">
        <w:rPr>
          <w:rFonts w:eastAsia="Times New Roman"/>
        </w:rPr>
        <w:t xml:space="preserve">, </w:t>
      </w:r>
      <w:proofErr w:type="spellStart"/>
      <w:r w:rsidRPr="0087487B">
        <w:rPr>
          <w:rFonts w:eastAsia="Times New Roman"/>
        </w:rPr>
        <w:t>pretomanid</w:t>
      </w:r>
      <w:proofErr w:type="spellEnd"/>
      <w:r w:rsidRPr="0087487B">
        <w:rPr>
          <w:rFonts w:eastAsia="Times New Roman"/>
        </w:rPr>
        <w:t xml:space="preserve">, linezolid (600 mg daily) and </w:t>
      </w:r>
      <w:proofErr w:type="gramStart"/>
      <w:r w:rsidRPr="0087487B">
        <w:rPr>
          <w:rFonts w:eastAsia="Times New Roman"/>
        </w:rPr>
        <w:t>moxifloxacin</w:t>
      </w:r>
      <w:proofErr w:type="gramEnd"/>
      <w:r w:rsidRPr="0087487B">
        <w:rPr>
          <w:rFonts w:eastAsia="Times New Roman"/>
        </w:rPr>
        <w:t xml:space="preserve"> </w:t>
      </w:r>
    </w:p>
    <w:p w14:paraId="444FFE73" w14:textId="77777777" w:rsidR="00F605B4" w:rsidRPr="0087487B" w:rsidRDefault="00F605B4" w:rsidP="00934C63">
      <w:pPr>
        <w:numPr>
          <w:ilvl w:val="0"/>
          <w:numId w:val="3"/>
        </w:numPr>
        <w:spacing w:before="100" w:beforeAutospacing="1" w:after="100" w:afterAutospacing="1" w:line="240" w:lineRule="auto"/>
        <w:divId w:val="448665177"/>
        <w:rPr>
          <w:rFonts w:eastAsia="Times New Roman"/>
        </w:rPr>
      </w:pPr>
      <w:r w:rsidRPr="0087487B">
        <w:rPr>
          <w:rFonts w:eastAsia="Times New Roman"/>
        </w:rPr>
        <w:t xml:space="preserve">is preferred to the 9–11 months shorter course or 18–20 months longer course </w:t>
      </w:r>
      <w:proofErr w:type="gramStart"/>
      <w:r w:rsidRPr="0087487B">
        <w:rPr>
          <w:rFonts w:eastAsia="Times New Roman"/>
        </w:rPr>
        <w:t>regimens</w:t>
      </w:r>
      <w:proofErr w:type="gramEnd"/>
      <w:r w:rsidRPr="0087487B">
        <w:rPr>
          <w:rFonts w:eastAsia="Times New Roman"/>
        </w:rPr>
        <w:t xml:space="preserve"> </w:t>
      </w:r>
    </w:p>
    <w:p w14:paraId="4BE1485C" w14:textId="77777777" w:rsidR="00F605B4" w:rsidRPr="0087487B" w:rsidRDefault="00F605B4" w:rsidP="00934C63">
      <w:pPr>
        <w:numPr>
          <w:ilvl w:val="0"/>
          <w:numId w:val="3"/>
        </w:numPr>
        <w:spacing w:before="100" w:beforeAutospacing="1" w:after="100" w:afterAutospacing="1" w:line="240" w:lineRule="auto"/>
        <w:divId w:val="448665177"/>
        <w:rPr>
          <w:rFonts w:eastAsia="Times New Roman"/>
        </w:rPr>
      </w:pPr>
      <w:r w:rsidRPr="0087487B">
        <w:rPr>
          <w:rFonts w:eastAsia="Times New Roman"/>
        </w:rPr>
        <w:t xml:space="preserve">not suitable for those with </w:t>
      </w:r>
      <w:proofErr w:type="gramStart"/>
      <w:r w:rsidRPr="0087487B">
        <w:rPr>
          <w:rFonts w:eastAsia="Times New Roman"/>
        </w:rPr>
        <w:t>previous</w:t>
      </w:r>
      <w:proofErr w:type="gramEnd"/>
      <w:r w:rsidRPr="0087487B">
        <w:rPr>
          <w:rFonts w:eastAsia="Times New Roman"/>
        </w:rPr>
        <w:t xml:space="preserve"> exposure to </w:t>
      </w:r>
      <w:proofErr w:type="spellStart"/>
      <w:r w:rsidRPr="0087487B">
        <w:rPr>
          <w:rFonts w:eastAsia="Times New Roman"/>
        </w:rPr>
        <w:t>bedaquiline</w:t>
      </w:r>
      <w:proofErr w:type="spellEnd"/>
      <w:r w:rsidRPr="0087487B">
        <w:rPr>
          <w:rFonts w:eastAsia="Times New Roman"/>
        </w:rPr>
        <w:t xml:space="preserve">, </w:t>
      </w:r>
      <w:proofErr w:type="spellStart"/>
      <w:r w:rsidRPr="0087487B">
        <w:rPr>
          <w:rFonts w:eastAsia="Times New Roman"/>
        </w:rPr>
        <w:t>pretomanid</w:t>
      </w:r>
      <w:proofErr w:type="spellEnd"/>
      <w:r w:rsidRPr="0087487B">
        <w:rPr>
          <w:rFonts w:eastAsia="Times New Roman"/>
        </w:rPr>
        <w:t xml:space="preserve">, or linezolid for greater than one month unless resistance is excluded. </w:t>
      </w:r>
    </w:p>
    <w:p w14:paraId="1CA1CF4F" w14:textId="77777777" w:rsidR="00F605B4" w:rsidRPr="0087487B" w:rsidRDefault="00F605B4">
      <w:pPr>
        <w:pStyle w:val="Heading2"/>
        <w:divId w:val="448665177"/>
        <w:rPr>
          <w:rFonts w:eastAsia="Times New Roman"/>
        </w:rPr>
      </w:pPr>
      <w:r w:rsidRPr="0087487B">
        <w:rPr>
          <w:rFonts w:eastAsia="Times New Roman"/>
        </w:rPr>
        <w:t>2. 6–</w:t>
      </w:r>
      <w:proofErr w:type="gramStart"/>
      <w:r w:rsidRPr="0087487B">
        <w:rPr>
          <w:rFonts w:eastAsia="Times New Roman"/>
        </w:rPr>
        <w:t>9 month</w:t>
      </w:r>
      <w:proofErr w:type="gramEnd"/>
      <w:r w:rsidRPr="0087487B">
        <w:rPr>
          <w:rFonts w:eastAsia="Times New Roman"/>
        </w:rPr>
        <w:t xml:space="preserve"> </w:t>
      </w:r>
      <w:proofErr w:type="spellStart"/>
      <w:r w:rsidRPr="0087487B">
        <w:rPr>
          <w:rFonts w:eastAsia="Times New Roman"/>
        </w:rPr>
        <w:t>BPaL</w:t>
      </w:r>
      <w:proofErr w:type="spellEnd"/>
      <w:r w:rsidRPr="0087487B">
        <w:rPr>
          <w:rFonts w:eastAsia="Times New Roman"/>
        </w:rPr>
        <w:t xml:space="preserve"> regimen (fluoroquinolone resistant): </w:t>
      </w:r>
    </w:p>
    <w:p w14:paraId="069AD408" w14:textId="77777777" w:rsidR="00F605B4" w:rsidRPr="0087487B" w:rsidRDefault="00F605B4" w:rsidP="00934C63">
      <w:pPr>
        <w:numPr>
          <w:ilvl w:val="0"/>
          <w:numId w:val="4"/>
        </w:numPr>
        <w:spacing w:before="100" w:beforeAutospacing="1" w:after="100" w:afterAutospacing="1" w:line="240" w:lineRule="auto"/>
        <w:divId w:val="448665177"/>
        <w:rPr>
          <w:rFonts w:eastAsia="Times New Roman"/>
        </w:rPr>
      </w:pPr>
      <w:r w:rsidRPr="0087487B">
        <w:rPr>
          <w:rFonts w:eastAsia="Times New Roman"/>
        </w:rPr>
        <w:t xml:space="preserve">comprises </w:t>
      </w:r>
      <w:proofErr w:type="spellStart"/>
      <w:r w:rsidRPr="0087487B">
        <w:rPr>
          <w:rFonts w:eastAsia="Times New Roman"/>
        </w:rPr>
        <w:t>bedaquiline</w:t>
      </w:r>
      <w:proofErr w:type="spellEnd"/>
      <w:r w:rsidRPr="0087487B">
        <w:rPr>
          <w:rFonts w:eastAsia="Times New Roman"/>
        </w:rPr>
        <w:t xml:space="preserve">, </w:t>
      </w:r>
      <w:proofErr w:type="spellStart"/>
      <w:r w:rsidRPr="0087487B">
        <w:rPr>
          <w:rFonts w:eastAsia="Times New Roman"/>
        </w:rPr>
        <w:t>pretomanid</w:t>
      </w:r>
      <w:proofErr w:type="spellEnd"/>
      <w:r w:rsidRPr="0087487B">
        <w:rPr>
          <w:rFonts w:eastAsia="Times New Roman"/>
        </w:rPr>
        <w:t xml:space="preserve">, linezolid (600 mg daily) </w:t>
      </w:r>
    </w:p>
    <w:p w14:paraId="7CC4F192" w14:textId="77777777" w:rsidR="00F605B4" w:rsidRPr="0087487B" w:rsidRDefault="00F605B4" w:rsidP="00934C63">
      <w:pPr>
        <w:numPr>
          <w:ilvl w:val="0"/>
          <w:numId w:val="4"/>
        </w:numPr>
        <w:spacing w:before="100" w:beforeAutospacing="1" w:after="100" w:afterAutospacing="1" w:line="240" w:lineRule="auto"/>
        <w:divId w:val="448665177"/>
        <w:rPr>
          <w:rFonts w:eastAsia="Times New Roman"/>
        </w:rPr>
      </w:pPr>
      <w:r w:rsidRPr="0087487B">
        <w:rPr>
          <w:rFonts w:eastAsia="Times New Roman"/>
        </w:rPr>
        <w:t xml:space="preserve">A 9-month regimen can be used if there is a slower, but still </w:t>
      </w:r>
      <w:proofErr w:type="spellStart"/>
      <w:r w:rsidRPr="0087487B">
        <w:rPr>
          <w:rFonts w:eastAsia="Times New Roman"/>
        </w:rPr>
        <w:t>favorable</w:t>
      </w:r>
      <w:proofErr w:type="spellEnd"/>
      <w:r w:rsidRPr="0087487B">
        <w:rPr>
          <w:rFonts w:eastAsia="Times New Roman"/>
        </w:rPr>
        <w:t xml:space="preserve">, treatment </w:t>
      </w:r>
      <w:proofErr w:type="gramStart"/>
      <w:r w:rsidRPr="0087487B">
        <w:rPr>
          <w:rFonts w:eastAsia="Times New Roman"/>
        </w:rPr>
        <w:t>response</w:t>
      </w:r>
      <w:proofErr w:type="gramEnd"/>
      <w:r w:rsidRPr="0087487B">
        <w:rPr>
          <w:rFonts w:eastAsia="Times New Roman"/>
        </w:rPr>
        <w:t xml:space="preserve"> </w:t>
      </w:r>
    </w:p>
    <w:p w14:paraId="2A7476DC" w14:textId="77777777" w:rsidR="00F605B4" w:rsidRPr="0087487B" w:rsidRDefault="00F605B4" w:rsidP="00934C63">
      <w:pPr>
        <w:numPr>
          <w:ilvl w:val="0"/>
          <w:numId w:val="4"/>
        </w:numPr>
        <w:spacing w:before="100" w:beforeAutospacing="1" w:after="100" w:afterAutospacing="1" w:line="240" w:lineRule="auto"/>
        <w:divId w:val="448665177"/>
        <w:rPr>
          <w:rFonts w:eastAsia="Times New Roman"/>
        </w:rPr>
      </w:pPr>
      <w:r w:rsidRPr="0087487B">
        <w:rPr>
          <w:rFonts w:eastAsia="Times New Roman"/>
        </w:rPr>
        <w:t xml:space="preserve">not suitable for those with </w:t>
      </w:r>
      <w:proofErr w:type="gramStart"/>
      <w:r w:rsidRPr="0087487B">
        <w:rPr>
          <w:rFonts w:eastAsia="Times New Roman"/>
        </w:rPr>
        <w:t>previous</w:t>
      </w:r>
      <w:proofErr w:type="gramEnd"/>
      <w:r w:rsidRPr="0087487B">
        <w:rPr>
          <w:rFonts w:eastAsia="Times New Roman"/>
        </w:rPr>
        <w:t xml:space="preserve"> exposure to </w:t>
      </w:r>
      <w:proofErr w:type="spellStart"/>
      <w:r w:rsidRPr="0087487B">
        <w:rPr>
          <w:rFonts w:eastAsia="Times New Roman"/>
        </w:rPr>
        <w:t>bedaquiline</w:t>
      </w:r>
      <w:proofErr w:type="spellEnd"/>
      <w:r w:rsidRPr="0087487B">
        <w:rPr>
          <w:rFonts w:eastAsia="Times New Roman"/>
        </w:rPr>
        <w:t xml:space="preserve">, </w:t>
      </w:r>
      <w:proofErr w:type="spellStart"/>
      <w:r w:rsidRPr="0087487B">
        <w:rPr>
          <w:rFonts w:eastAsia="Times New Roman"/>
        </w:rPr>
        <w:t>pretomanid</w:t>
      </w:r>
      <w:proofErr w:type="spellEnd"/>
      <w:r w:rsidRPr="0087487B">
        <w:rPr>
          <w:rFonts w:eastAsia="Times New Roman"/>
        </w:rPr>
        <w:t xml:space="preserve">, or linezolid for greater than one month unless resistance is excluded. </w:t>
      </w:r>
    </w:p>
    <w:p w14:paraId="5100A379" w14:textId="77777777" w:rsidR="00F605B4" w:rsidRPr="0087487B" w:rsidRDefault="00F605B4">
      <w:pPr>
        <w:pStyle w:val="NormalWeb"/>
        <w:divId w:val="448665177"/>
      </w:pPr>
      <w:r w:rsidRPr="0087487B">
        <w:t xml:space="preserve">On current evidence, use of the </w:t>
      </w:r>
      <w:proofErr w:type="spellStart"/>
      <w:r w:rsidRPr="0087487B">
        <w:t>BPaLM</w:t>
      </w:r>
      <w:proofErr w:type="spellEnd"/>
      <w:r w:rsidRPr="0087487B">
        <w:t xml:space="preserve"> and </w:t>
      </w:r>
      <w:proofErr w:type="spellStart"/>
      <w:r w:rsidRPr="0087487B">
        <w:t>BPaL</w:t>
      </w:r>
      <w:proofErr w:type="spellEnd"/>
      <w:r w:rsidRPr="0087487B">
        <w:t xml:space="preserve"> regimens </w:t>
      </w:r>
      <w:proofErr w:type="gramStart"/>
      <w:r w:rsidRPr="0087487B">
        <w:t>is limited</w:t>
      </w:r>
      <w:proofErr w:type="gramEnd"/>
      <w:r w:rsidRPr="0087487B">
        <w:t xml:space="preserve"> to patients who: </w:t>
      </w:r>
    </w:p>
    <w:p w14:paraId="208C32B9" w14:textId="77777777" w:rsidR="00F605B4" w:rsidRPr="0087487B" w:rsidRDefault="00F605B4" w:rsidP="00934C63">
      <w:pPr>
        <w:numPr>
          <w:ilvl w:val="0"/>
          <w:numId w:val="5"/>
        </w:numPr>
        <w:spacing w:before="100" w:beforeAutospacing="1" w:after="100" w:afterAutospacing="1" w:line="240" w:lineRule="auto"/>
        <w:divId w:val="448665177"/>
        <w:rPr>
          <w:rFonts w:eastAsia="Times New Roman"/>
        </w:rPr>
      </w:pPr>
      <w:r w:rsidRPr="0087487B">
        <w:rPr>
          <w:rFonts w:eastAsia="Times New Roman"/>
        </w:rPr>
        <w:t xml:space="preserve">are 15 years and </w:t>
      </w:r>
      <w:proofErr w:type="gramStart"/>
      <w:r w:rsidRPr="0087487B">
        <w:rPr>
          <w:rFonts w:eastAsia="Times New Roman"/>
        </w:rPr>
        <w:t>older</w:t>
      </w:r>
      <w:proofErr w:type="gramEnd"/>
      <w:r w:rsidRPr="0087487B">
        <w:rPr>
          <w:rFonts w:eastAsia="Times New Roman"/>
        </w:rPr>
        <w:t xml:space="preserve"> </w:t>
      </w:r>
    </w:p>
    <w:p w14:paraId="3D82ADE9" w14:textId="77777777" w:rsidR="00F605B4" w:rsidRPr="0087487B" w:rsidRDefault="00F605B4" w:rsidP="00934C63">
      <w:pPr>
        <w:numPr>
          <w:ilvl w:val="0"/>
          <w:numId w:val="5"/>
        </w:numPr>
        <w:spacing w:before="100" w:beforeAutospacing="1" w:after="100" w:afterAutospacing="1" w:line="240" w:lineRule="auto"/>
        <w:divId w:val="448665177"/>
        <w:rPr>
          <w:rFonts w:eastAsia="Times New Roman"/>
        </w:rPr>
      </w:pPr>
      <w:r w:rsidRPr="0087487B">
        <w:rPr>
          <w:rFonts w:eastAsia="Times New Roman"/>
        </w:rPr>
        <w:lastRenderedPageBreak/>
        <w:t xml:space="preserve">do not have severe extra-pulmonary disease (miliary TB, TB meningitis, osteoarticular TB or pericardial TB) </w:t>
      </w:r>
    </w:p>
    <w:p w14:paraId="5956A127" w14:textId="77777777" w:rsidR="00F605B4" w:rsidRPr="0087487B" w:rsidRDefault="00F605B4" w:rsidP="00934C63">
      <w:pPr>
        <w:numPr>
          <w:ilvl w:val="0"/>
          <w:numId w:val="5"/>
        </w:numPr>
        <w:spacing w:before="100" w:beforeAutospacing="1" w:after="100" w:afterAutospacing="1" w:line="240" w:lineRule="auto"/>
        <w:divId w:val="448665177"/>
        <w:rPr>
          <w:rFonts w:eastAsia="Times New Roman"/>
        </w:rPr>
      </w:pPr>
      <w:r w:rsidRPr="0087487B">
        <w:rPr>
          <w:rFonts w:eastAsia="Times New Roman"/>
        </w:rPr>
        <w:t xml:space="preserve">are not pregnant or </w:t>
      </w:r>
      <w:proofErr w:type="gramStart"/>
      <w:r w:rsidRPr="0087487B">
        <w:rPr>
          <w:rFonts w:eastAsia="Times New Roman"/>
        </w:rPr>
        <w:t>breastfeeding</w:t>
      </w:r>
      <w:proofErr w:type="gramEnd"/>
      <w:r w:rsidRPr="0087487B">
        <w:rPr>
          <w:rFonts w:eastAsia="Times New Roman"/>
        </w:rPr>
        <w:t xml:space="preserve"> </w:t>
      </w:r>
    </w:p>
    <w:p w14:paraId="6B714961" w14:textId="77777777" w:rsidR="00F605B4" w:rsidRPr="0087487B" w:rsidRDefault="00F605B4" w:rsidP="00934C63">
      <w:pPr>
        <w:numPr>
          <w:ilvl w:val="0"/>
          <w:numId w:val="5"/>
        </w:numPr>
        <w:spacing w:before="100" w:beforeAutospacing="1" w:after="100" w:afterAutospacing="1" w:line="240" w:lineRule="auto"/>
        <w:divId w:val="448665177"/>
        <w:rPr>
          <w:rFonts w:eastAsia="Times New Roman"/>
        </w:rPr>
      </w:pPr>
      <w:r w:rsidRPr="0087487B">
        <w:rPr>
          <w:rFonts w:eastAsia="Times New Roman"/>
        </w:rPr>
        <w:t xml:space="preserve">have not had </w:t>
      </w:r>
      <w:proofErr w:type="gramStart"/>
      <w:r w:rsidRPr="0087487B">
        <w:rPr>
          <w:rFonts w:eastAsia="Times New Roman"/>
        </w:rPr>
        <w:t>previous</w:t>
      </w:r>
      <w:proofErr w:type="gramEnd"/>
      <w:r w:rsidRPr="0087487B">
        <w:rPr>
          <w:rFonts w:eastAsia="Times New Roman"/>
        </w:rPr>
        <w:t xml:space="preserve"> exposure to </w:t>
      </w:r>
      <w:proofErr w:type="spellStart"/>
      <w:r w:rsidRPr="0087487B">
        <w:rPr>
          <w:rFonts w:eastAsia="Times New Roman"/>
        </w:rPr>
        <w:t>bedaquiline</w:t>
      </w:r>
      <w:proofErr w:type="spellEnd"/>
      <w:r w:rsidRPr="0087487B">
        <w:rPr>
          <w:rFonts w:eastAsia="Times New Roman"/>
        </w:rPr>
        <w:t xml:space="preserve">, </w:t>
      </w:r>
      <w:proofErr w:type="spellStart"/>
      <w:r w:rsidRPr="0087487B">
        <w:rPr>
          <w:rFonts w:eastAsia="Times New Roman"/>
        </w:rPr>
        <w:t>pretomanid</w:t>
      </w:r>
      <w:proofErr w:type="spellEnd"/>
      <w:r w:rsidRPr="0087487B">
        <w:rPr>
          <w:rFonts w:eastAsia="Times New Roman"/>
        </w:rPr>
        <w:t xml:space="preserve">, or linezolid for greater than one month. </w:t>
      </w:r>
    </w:p>
    <w:p w14:paraId="741903DF" w14:textId="77777777" w:rsidR="00F605B4" w:rsidRPr="0087487B" w:rsidRDefault="00F605B4" w:rsidP="000F29CD">
      <w:pPr>
        <w:divId w:val="448665177"/>
      </w:pPr>
      <w:r w:rsidRPr="0087487B">
        <w:t xml:space="preserve">If the above regimens cannot be implemented due to not meeting the above criteria or in full due to adverse effects or drug interactions, a longer all-oral regimen is </w:t>
      </w:r>
      <w:proofErr w:type="gramStart"/>
      <w:r w:rsidRPr="0087487B">
        <w:t>indicated</w:t>
      </w:r>
      <w:proofErr w:type="gramEnd"/>
      <w:r w:rsidRPr="0087487B">
        <w:t xml:space="preserve">. </w:t>
      </w:r>
    </w:p>
    <w:p w14:paraId="7EB6891B" w14:textId="77777777" w:rsidR="00F605B4" w:rsidRPr="0087487B" w:rsidRDefault="00F605B4">
      <w:pPr>
        <w:pStyle w:val="Heading2"/>
        <w:divId w:val="448665177"/>
        <w:rPr>
          <w:rFonts w:eastAsia="Times New Roman"/>
        </w:rPr>
      </w:pPr>
      <w:r w:rsidRPr="0087487B">
        <w:rPr>
          <w:rFonts w:eastAsia="Times New Roman"/>
        </w:rPr>
        <w:t>3. 9–</w:t>
      </w:r>
      <w:proofErr w:type="gramStart"/>
      <w:r w:rsidRPr="0087487B">
        <w:rPr>
          <w:rFonts w:eastAsia="Times New Roman"/>
        </w:rPr>
        <w:t>11 month</w:t>
      </w:r>
      <w:proofErr w:type="gramEnd"/>
      <w:r w:rsidRPr="0087487B">
        <w:rPr>
          <w:rFonts w:eastAsia="Times New Roman"/>
        </w:rPr>
        <w:t xml:space="preserve"> all-oral regimen: </w:t>
      </w:r>
    </w:p>
    <w:p w14:paraId="3BB6BDD4" w14:textId="77777777" w:rsidR="00F605B4" w:rsidRPr="0087487B" w:rsidRDefault="00F605B4" w:rsidP="000F29CD">
      <w:pPr>
        <w:divId w:val="448665177"/>
      </w:pPr>
      <w:r w:rsidRPr="0087487B">
        <w:t xml:space="preserve">Although this standardised shorter course regimen is still a WHO option that can be considered for use, the inclusion of drugs with proven or </w:t>
      </w:r>
      <w:proofErr w:type="gramStart"/>
      <w:r w:rsidRPr="0087487B">
        <w:t>possible resistance</w:t>
      </w:r>
      <w:proofErr w:type="gramEnd"/>
      <w:r w:rsidRPr="0087487B">
        <w:t xml:space="preserve"> such as isoniazid, ethionamide and pyrazinamide, has raised concerns. The ATS/CDC/ERS/IDSA guideline (2019) did not make a recommendation for or against the use of this regimen. </w:t>
      </w:r>
    </w:p>
    <w:p w14:paraId="6C9D52F1" w14:textId="77777777" w:rsidR="00F605B4" w:rsidRPr="0087487B" w:rsidRDefault="00F605B4" w:rsidP="000F29CD">
      <w:pPr>
        <w:divId w:val="448665177"/>
      </w:pPr>
      <w:r w:rsidRPr="0087487B">
        <w:t xml:space="preserve">The regimen </w:t>
      </w:r>
      <w:proofErr w:type="gramStart"/>
      <w:r w:rsidRPr="0087487B">
        <w:t>comprises</w:t>
      </w:r>
      <w:proofErr w:type="gramEnd"/>
      <w:r w:rsidRPr="0087487B">
        <w:t xml:space="preserve"> </w:t>
      </w:r>
    </w:p>
    <w:p w14:paraId="6A83DB17" w14:textId="77777777" w:rsidR="00F605B4" w:rsidRPr="0087487B" w:rsidRDefault="00F605B4" w:rsidP="00934C63">
      <w:pPr>
        <w:numPr>
          <w:ilvl w:val="0"/>
          <w:numId w:val="6"/>
        </w:numPr>
        <w:spacing w:before="100" w:beforeAutospacing="1" w:after="100" w:afterAutospacing="1" w:line="240" w:lineRule="auto"/>
        <w:divId w:val="448665177"/>
        <w:rPr>
          <w:rFonts w:eastAsia="Times New Roman"/>
        </w:rPr>
      </w:pPr>
      <w:proofErr w:type="gramStart"/>
      <w:r w:rsidRPr="0087487B">
        <w:rPr>
          <w:rFonts w:eastAsia="Times New Roman"/>
        </w:rPr>
        <w:t>an initial</w:t>
      </w:r>
      <w:proofErr w:type="gramEnd"/>
      <w:r w:rsidRPr="0087487B">
        <w:rPr>
          <w:rFonts w:eastAsia="Times New Roman"/>
        </w:rPr>
        <w:t xml:space="preserve"> phase: 4–6 months </w:t>
      </w:r>
      <w:proofErr w:type="spellStart"/>
      <w:r w:rsidRPr="0087487B">
        <w:rPr>
          <w:rFonts w:eastAsia="Times New Roman"/>
        </w:rPr>
        <w:t>bedaquiline</w:t>
      </w:r>
      <w:proofErr w:type="spellEnd"/>
      <w:r w:rsidRPr="0087487B">
        <w:rPr>
          <w:rFonts w:eastAsia="Times New Roman"/>
        </w:rPr>
        <w:t xml:space="preserve"> (6 months), moxifloxacin or levofloxacin, clofazimine, ethionamide (or linezolid 2 months), isoniazid (high dose), ethambutol, pyrazinamide then </w:t>
      </w:r>
    </w:p>
    <w:p w14:paraId="5F78DECA" w14:textId="77777777" w:rsidR="00F605B4" w:rsidRPr="0087487B" w:rsidRDefault="00F605B4" w:rsidP="00934C63">
      <w:pPr>
        <w:numPr>
          <w:ilvl w:val="0"/>
          <w:numId w:val="6"/>
        </w:numPr>
        <w:spacing w:before="100" w:beforeAutospacing="1" w:after="100" w:afterAutospacing="1" w:line="240" w:lineRule="auto"/>
        <w:divId w:val="448665177"/>
        <w:rPr>
          <w:rFonts w:eastAsia="Times New Roman"/>
        </w:rPr>
      </w:pPr>
      <w:r w:rsidRPr="0087487B">
        <w:rPr>
          <w:rFonts w:eastAsia="Times New Roman"/>
        </w:rPr>
        <w:t xml:space="preserve">a continuation phase: 5 months moxifloxacin or levofloxacin, clofazimine, ethambutol, </w:t>
      </w:r>
      <w:proofErr w:type="gramStart"/>
      <w:r w:rsidRPr="0087487B">
        <w:rPr>
          <w:rFonts w:eastAsia="Times New Roman"/>
        </w:rPr>
        <w:t>pyrazinamide;</w:t>
      </w:r>
      <w:proofErr w:type="gramEnd"/>
      <w:r w:rsidRPr="0087487B">
        <w:rPr>
          <w:rFonts w:eastAsia="Times New Roman"/>
        </w:rPr>
        <w:t xml:space="preserve"> </w:t>
      </w:r>
    </w:p>
    <w:p w14:paraId="3B07D8A1" w14:textId="77777777" w:rsidR="00F605B4" w:rsidRPr="0087487B" w:rsidRDefault="00F605B4" w:rsidP="00934C63">
      <w:pPr>
        <w:numPr>
          <w:ilvl w:val="0"/>
          <w:numId w:val="6"/>
        </w:numPr>
        <w:spacing w:before="100" w:beforeAutospacing="1" w:after="100" w:afterAutospacing="1" w:line="240" w:lineRule="auto"/>
        <w:divId w:val="448665177"/>
        <w:rPr>
          <w:rFonts w:eastAsia="Times New Roman"/>
        </w:rPr>
      </w:pPr>
      <w:r w:rsidRPr="0087487B">
        <w:rPr>
          <w:rFonts w:eastAsia="Times New Roman"/>
        </w:rPr>
        <w:t xml:space="preserve">linezolid (600 mg daily) for an initial 2 months can be considered as an alternative to ethionamide for 4 </w:t>
      </w:r>
      <w:proofErr w:type="gramStart"/>
      <w:r w:rsidRPr="0087487B">
        <w:rPr>
          <w:rFonts w:eastAsia="Times New Roman"/>
        </w:rPr>
        <w:t>months;</w:t>
      </w:r>
      <w:proofErr w:type="gramEnd"/>
      <w:r w:rsidRPr="0087487B">
        <w:rPr>
          <w:rFonts w:eastAsia="Times New Roman"/>
        </w:rPr>
        <w:t xml:space="preserve"> </w:t>
      </w:r>
    </w:p>
    <w:p w14:paraId="370E6BE2" w14:textId="77777777" w:rsidR="00F605B4" w:rsidRPr="0087487B" w:rsidRDefault="00F605B4" w:rsidP="00934C63">
      <w:pPr>
        <w:numPr>
          <w:ilvl w:val="0"/>
          <w:numId w:val="6"/>
        </w:numPr>
        <w:spacing w:before="100" w:beforeAutospacing="1" w:after="100" w:afterAutospacing="1" w:line="240" w:lineRule="auto"/>
        <w:divId w:val="448665177"/>
        <w:rPr>
          <w:rFonts w:eastAsia="Times New Roman"/>
        </w:rPr>
      </w:pPr>
      <w:r w:rsidRPr="0087487B">
        <w:rPr>
          <w:rFonts w:eastAsia="Times New Roman"/>
        </w:rPr>
        <w:t xml:space="preserve">extension of the </w:t>
      </w:r>
      <w:proofErr w:type="gramStart"/>
      <w:r w:rsidRPr="0087487B">
        <w:rPr>
          <w:rFonts w:eastAsia="Times New Roman"/>
        </w:rPr>
        <w:t>initial</w:t>
      </w:r>
      <w:proofErr w:type="gramEnd"/>
      <w:r w:rsidRPr="0087487B">
        <w:rPr>
          <w:rFonts w:eastAsia="Times New Roman"/>
        </w:rPr>
        <w:t xml:space="preserve"> phase of treatment to 6 months will depend on clinical and bacteriological assessment. </w:t>
      </w:r>
    </w:p>
    <w:p w14:paraId="3F4D9D4F" w14:textId="77777777" w:rsidR="00F605B4" w:rsidRPr="0087487B" w:rsidRDefault="00F605B4" w:rsidP="000F29CD">
      <w:pPr>
        <w:divId w:val="448665177"/>
      </w:pPr>
      <w:r w:rsidRPr="0087487B">
        <w:t xml:space="preserve">This shorter course all-oral regimen should only </w:t>
      </w:r>
      <w:proofErr w:type="gramStart"/>
      <w:r w:rsidRPr="0087487B">
        <w:t>be considered</w:t>
      </w:r>
      <w:proofErr w:type="gramEnd"/>
      <w:r w:rsidRPr="0087487B">
        <w:t xml:space="preserve"> in those with: </w:t>
      </w:r>
    </w:p>
    <w:p w14:paraId="1F98C23B" w14:textId="77777777" w:rsidR="00F605B4" w:rsidRPr="0087487B" w:rsidRDefault="00F605B4" w:rsidP="00934C63">
      <w:pPr>
        <w:numPr>
          <w:ilvl w:val="0"/>
          <w:numId w:val="7"/>
        </w:numPr>
        <w:spacing w:before="100" w:beforeAutospacing="1" w:after="100" w:afterAutospacing="1" w:line="240" w:lineRule="auto"/>
        <w:divId w:val="448665177"/>
        <w:rPr>
          <w:rFonts w:eastAsia="Times New Roman"/>
        </w:rPr>
      </w:pPr>
      <w:r w:rsidRPr="0087487B">
        <w:rPr>
          <w:rFonts w:eastAsia="Times New Roman"/>
        </w:rPr>
        <w:t xml:space="preserve">confirmed fluoroquinolone </w:t>
      </w:r>
      <w:proofErr w:type="gramStart"/>
      <w:r w:rsidRPr="0087487B">
        <w:rPr>
          <w:rFonts w:eastAsia="Times New Roman"/>
        </w:rPr>
        <w:t>susceptibility;</w:t>
      </w:r>
      <w:proofErr w:type="gramEnd"/>
      <w:r w:rsidRPr="0087487B">
        <w:rPr>
          <w:rFonts w:eastAsia="Times New Roman"/>
        </w:rPr>
        <w:t xml:space="preserve"> </w:t>
      </w:r>
    </w:p>
    <w:p w14:paraId="426025CE" w14:textId="77777777" w:rsidR="00F605B4" w:rsidRPr="0087487B" w:rsidRDefault="00F605B4" w:rsidP="00934C63">
      <w:pPr>
        <w:numPr>
          <w:ilvl w:val="0"/>
          <w:numId w:val="7"/>
        </w:numPr>
        <w:spacing w:before="100" w:beforeAutospacing="1" w:after="100" w:afterAutospacing="1" w:line="240" w:lineRule="auto"/>
        <w:divId w:val="448665177"/>
        <w:rPr>
          <w:rFonts w:eastAsia="Times New Roman"/>
        </w:rPr>
      </w:pPr>
      <w:r w:rsidRPr="0087487B">
        <w:rPr>
          <w:rFonts w:eastAsia="Times New Roman"/>
        </w:rPr>
        <w:t>non-extensive pulmonary disease (no bilateral cavitary or extensive parenchymal disease on chest radiology) or non-severe extra-pulmonary disease (no miliary TB, TB meningitis, osteoarticular TB or pericardial TB</w:t>
      </w:r>
      <w:proofErr w:type="gramStart"/>
      <w:r w:rsidRPr="0087487B">
        <w:rPr>
          <w:rFonts w:eastAsia="Times New Roman"/>
        </w:rPr>
        <w:t>);</w:t>
      </w:r>
      <w:proofErr w:type="gramEnd"/>
      <w:r w:rsidRPr="0087487B">
        <w:rPr>
          <w:rFonts w:eastAsia="Times New Roman"/>
        </w:rPr>
        <w:t xml:space="preserve"> </w:t>
      </w:r>
    </w:p>
    <w:p w14:paraId="7D97178A" w14:textId="77777777" w:rsidR="00F605B4" w:rsidRPr="0087487B" w:rsidRDefault="00F605B4" w:rsidP="00934C63">
      <w:pPr>
        <w:numPr>
          <w:ilvl w:val="0"/>
          <w:numId w:val="7"/>
        </w:numPr>
        <w:spacing w:before="100" w:beforeAutospacing="1" w:after="100" w:afterAutospacing="1" w:line="240" w:lineRule="auto"/>
        <w:divId w:val="448665177"/>
        <w:rPr>
          <w:rFonts w:eastAsia="Times New Roman"/>
        </w:rPr>
      </w:pPr>
      <w:r w:rsidRPr="0087487B">
        <w:rPr>
          <w:rFonts w:eastAsia="Times New Roman"/>
        </w:rPr>
        <w:t>for children less than 15 years of age, other extra-pulmonary sites are also excluded (except lymph peripheral nodes or isolated mediastinal mass without compression</w:t>
      </w:r>
      <w:proofErr w:type="gramStart"/>
      <w:r w:rsidRPr="0087487B">
        <w:rPr>
          <w:rFonts w:eastAsia="Times New Roman"/>
        </w:rPr>
        <w:t>);</w:t>
      </w:r>
      <w:proofErr w:type="gramEnd"/>
      <w:r w:rsidRPr="0087487B">
        <w:rPr>
          <w:rFonts w:eastAsia="Times New Roman"/>
        </w:rPr>
        <w:t xml:space="preserve"> </w:t>
      </w:r>
    </w:p>
    <w:p w14:paraId="286F02D1" w14:textId="77777777" w:rsidR="00F605B4" w:rsidRPr="0087487B" w:rsidRDefault="00F605B4" w:rsidP="00934C63">
      <w:pPr>
        <w:numPr>
          <w:ilvl w:val="0"/>
          <w:numId w:val="7"/>
        </w:numPr>
        <w:spacing w:before="100" w:beforeAutospacing="1" w:after="100" w:afterAutospacing="1" w:line="240" w:lineRule="auto"/>
        <w:divId w:val="448665177"/>
        <w:rPr>
          <w:rFonts w:eastAsia="Times New Roman"/>
        </w:rPr>
      </w:pPr>
      <w:r w:rsidRPr="0087487B">
        <w:rPr>
          <w:rFonts w:eastAsia="Times New Roman"/>
        </w:rPr>
        <w:t xml:space="preserve">no </w:t>
      </w:r>
      <w:proofErr w:type="gramStart"/>
      <w:r w:rsidRPr="0087487B">
        <w:rPr>
          <w:rFonts w:eastAsia="Times New Roman"/>
        </w:rPr>
        <w:t>additional</w:t>
      </w:r>
      <w:proofErr w:type="gramEnd"/>
      <w:r w:rsidRPr="0087487B">
        <w:rPr>
          <w:rFonts w:eastAsia="Times New Roman"/>
        </w:rPr>
        <w:t xml:space="preserve"> resistance to other first or second line drugs (other than isoniazid; if a </w:t>
      </w:r>
      <w:proofErr w:type="spellStart"/>
      <w:r w:rsidRPr="0087487B">
        <w:rPr>
          <w:rFonts w:eastAsia="Times New Roman"/>
        </w:rPr>
        <w:t>katG</w:t>
      </w:r>
      <w:proofErr w:type="spellEnd"/>
      <w:r w:rsidRPr="0087487B">
        <w:rPr>
          <w:rFonts w:eastAsia="Times New Roman"/>
        </w:rPr>
        <w:t xml:space="preserve"> mutation is present, high dose isoniazid is unlikely to be of benefit) or previous use of any drugs contained in the regimen for greater than one month. </w:t>
      </w:r>
    </w:p>
    <w:p w14:paraId="45CBE52A" w14:textId="77777777" w:rsidR="00F605B4" w:rsidRPr="0087487B" w:rsidRDefault="00F605B4" w:rsidP="00E152FF">
      <w:pPr>
        <w:divId w:val="448665177"/>
        <w:rPr>
          <w:b/>
          <w:bCs/>
        </w:rPr>
      </w:pPr>
      <w:r w:rsidRPr="0087487B">
        <w:rPr>
          <w:rStyle w:val="Emphasis"/>
          <w:b w:val="0"/>
          <w:bCs w:val="0"/>
        </w:rPr>
        <w:t xml:space="preserve">Note: Ethionamide (or </w:t>
      </w:r>
      <w:proofErr w:type="spellStart"/>
      <w:r w:rsidRPr="0087487B">
        <w:rPr>
          <w:rStyle w:val="Emphasis"/>
          <w:b w:val="0"/>
          <w:bCs w:val="0"/>
        </w:rPr>
        <w:t>prothionamide</w:t>
      </w:r>
      <w:proofErr w:type="spellEnd"/>
      <w:r w:rsidRPr="0087487B">
        <w:rPr>
          <w:rStyle w:val="Emphasis"/>
          <w:b w:val="0"/>
          <w:bCs w:val="0"/>
        </w:rPr>
        <w:t>) is contra-</w:t>
      </w:r>
      <w:proofErr w:type="gramStart"/>
      <w:r w:rsidRPr="0087487B">
        <w:rPr>
          <w:rStyle w:val="Emphasis"/>
          <w:b w:val="0"/>
          <w:bCs w:val="0"/>
        </w:rPr>
        <w:t>indicated</w:t>
      </w:r>
      <w:proofErr w:type="gramEnd"/>
      <w:r w:rsidRPr="0087487B">
        <w:rPr>
          <w:rStyle w:val="Emphasis"/>
          <w:b w:val="0"/>
          <w:bCs w:val="0"/>
        </w:rPr>
        <w:t xml:space="preserve"> in pregnancy. This 9–</w:t>
      </w:r>
      <w:proofErr w:type="gramStart"/>
      <w:r w:rsidRPr="0087487B">
        <w:rPr>
          <w:rStyle w:val="Emphasis"/>
          <w:b w:val="0"/>
          <w:bCs w:val="0"/>
        </w:rPr>
        <w:t>11 month</w:t>
      </w:r>
      <w:proofErr w:type="gramEnd"/>
      <w:r w:rsidRPr="0087487B">
        <w:rPr>
          <w:rStyle w:val="Emphasis"/>
          <w:b w:val="0"/>
          <w:bCs w:val="0"/>
        </w:rPr>
        <w:t xml:space="preserve"> oral regimen should only be considered in pregnancy if ethionamide is replaced with linezolid. </w:t>
      </w:r>
    </w:p>
    <w:p w14:paraId="3A2362E9" w14:textId="77777777" w:rsidR="00F605B4" w:rsidRPr="0087487B" w:rsidRDefault="00F605B4">
      <w:pPr>
        <w:pStyle w:val="Heading2"/>
        <w:divId w:val="448665177"/>
        <w:rPr>
          <w:rFonts w:eastAsia="Times New Roman"/>
        </w:rPr>
      </w:pPr>
      <w:r w:rsidRPr="0087487B">
        <w:rPr>
          <w:rFonts w:eastAsia="Times New Roman"/>
        </w:rPr>
        <w:t xml:space="preserve">4. All-oral longer course regimen </w:t>
      </w:r>
    </w:p>
    <w:p w14:paraId="7A9658A3" w14:textId="77777777" w:rsidR="00F605B4" w:rsidRPr="0087487B" w:rsidRDefault="00F605B4" w:rsidP="000F29CD">
      <w:pPr>
        <w:divId w:val="448665177"/>
      </w:pPr>
      <w:r w:rsidRPr="0087487B">
        <w:t xml:space="preserve">The use of a longer course individualised regimen should be considered in those with more extensive forms of disease, or if a shorter course regimen cannot be used because eligibility criteria are not </w:t>
      </w:r>
      <w:proofErr w:type="gramStart"/>
      <w:r w:rsidRPr="0087487B">
        <w:t>met</w:t>
      </w:r>
      <w:proofErr w:type="gramEnd"/>
      <w:r w:rsidRPr="0087487B">
        <w:t xml:space="preserve"> or treatment is failing or drug intolerance issues arise. </w:t>
      </w:r>
    </w:p>
    <w:p w14:paraId="74D356CE" w14:textId="77777777" w:rsidR="00F605B4" w:rsidRPr="0087487B" w:rsidRDefault="00F605B4" w:rsidP="000F29CD">
      <w:pPr>
        <w:divId w:val="448665177"/>
      </w:pPr>
      <w:r w:rsidRPr="0087487B">
        <w:t xml:space="preserve">The design of the regimen is based on a priority selection of drugs from the new WHO drug groupings (see table 1 below) which should </w:t>
      </w:r>
      <w:proofErr w:type="gramStart"/>
      <w:r w:rsidRPr="0087487B">
        <w:t>be supported</w:t>
      </w:r>
      <w:proofErr w:type="gramEnd"/>
      <w:r w:rsidRPr="0087487B">
        <w:t xml:space="preserve"> by drug susceptibility testing (DST) and careful pre-treatment evaluation of the patient. Minor differences between the WHO (2019) and ATS/CDC/ERS/IDSA (2019) guidelines include: </w:t>
      </w:r>
    </w:p>
    <w:p w14:paraId="6AB604C2" w14:textId="77777777" w:rsidR="00F605B4" w:rsidRPr="0087487B" w:rsidRDefault="00F605B4" w:rsidP="00934C63">
      <w:pPr>
        <w:numPr>
          <w:ilvl w:val="0"/>
          <w:numId w:val="8"/>
        </w:numPr>
        <w:spacing w:before="100" w:beforeAutospacing="1" w:after="100" w:afterAutospacing="1" w:line="240" w:lineRule="auto"/>
        <w:divId w:val="448665177"/>
        <w:rPr>
          <w:rFonts w:eastAsia="Times New Roman"/>
        </w:rPr>
      </w:pPr>
      <w:r w:rsidRPr="0087487B">
        <w:rPr>
          <w:rFonts w:eastAsia="Times New Roman"/>
        </w:rPr>
        <w:t xml:space="preserve">Initial drug </w:t>
      </w:r>
      <w:proofErr w:type="gramStart"/>
      <w:r w:rsidRPr="0087487B">
        <w:rPr>
          <w:rFonts w:eastAsia="Times New Roman"/>
        </w:rPr>
        <w:t>selection</w:t>
      </w:r>
      <w:proofErr w:type="gramEnd"/>
      <w:r w:rsidRPr="0087487B">
        <w:rPr>
          <w:rFonts w:eastAsia="Times New Roman"/>
        </w:rPr>
        <w:t xml:space="preserve"> in fluoroquinolone susceptible cases should include at least 4 drugs from WHO groups A and B, consider 5 (WHO); ATS/CDC/ERS/IDSA advise at least 5 drugs. </w:t>
      </w:r>
    </w:p>
    <w:p w14:paraId="63E18447" w14:textId="77777777" w:rsidR="00F605B4" w:rsidRPr="0087487B" w:rsidRDefault="00F605B4" w:rsidP="00934C63">
      <w:pPr>
        <w:numPr>
          <w:ilvl w:val="0"/>
          <w:numId w:val="8"/>
        </w:numPr>
        <w:spacing w:before="100" w:beforeAutospacing="1" w:after="100" w:afterAutospacing="1" w:line="240" w:lineRule="auto"/>
        <w:divId w:val="448665177"/>
        <w:rPr>
          <w:rFonts w:eastAsia="Times New Roman"/>
        </w:rPr>
      </w:pPr>
      <w:proofErr w:type="spellStart"/>
      <w:r w:rsidRPr="0087487B">
        <w:rPr>
          <w:rFonts w:eastAsia="Times New Roman"/>
        </w:rPr>
        <w:t>Bedaquiline</w:t>
      </w:r>
      <w:proofErr w:type="spellEnd"/>
      <w:r w:rsidRPr="0087487B">
        <w:rPr>
          <w:rFonts w:eastAsia="Times New Roman"/>
        </w:rPr>
        <w:t xml:space="preserve"> </w:t>
      </w:r>
      <w:proofErr w:type="gramStart"/>
      <w:r w:rsidRPr="0087487B">
        <w:rPr>
          <w:rFonts w:eastAsia="Times New Roman"/>
        </w:rPr>
        <w:t>is usually ceased</w:t>
      </w:r>
      <w:proofErr w:type="gramEnd"/>
      <w:r w:rsidRPr="0087487B">
        <w:rPr>
          <w:rFonts w:eastAsia="Times New Roman"/>
        </w:rPr>
        <w:t xml:space="preserve"> at 6 months (WHO); but can be considered for use up to 5–7 months post sputum culture conversion (ATS/CDC/ERS/IDSA). </w:t>
      </w:r>
    </w:p>
    <w:p w14:paraId="5D9C9705" w14:textId="77777777" w:rsidR="00F605B4" w:rsidRPr="0087487B" w:rsidRDefault="00F605B4" w:rsidP="00934C63">
      <w:pPr>
        <w:numPr>
          <w:ilvl w:val="0"/>
          <w:numId w:val="8"/>
        </w:numPr>
        <w:spacing w:before="100" w:beforeAutospacing="1" w:after="100" w:afterAutospacing="1" w:line="240" w:lineRule="auto"/>
        <w:divId w:val="448665177"/>
        <w:rPr>
          <w:rFonts w:eastAsia="Times New Roman"/>
        </w:rPr>
      </w:pPr>
      <w:r w:rsidRPr="0087487B">
        <w:rPr>
          <w:rFonts w:eastAsia="Times New Roman"/>
        </w:rPr>
        <w:t xml:space="preserve">The continuation phase should </w:t>
      </w:r>
      <w:proofErr w:type="gramStart"/>
      <w:r w:rsidRPr="0087487B">
        <w:rPr>
          <w:rFonts w:eastAsia="Times New Roman"/>
        </w:rPr>
        <w:t>comprise</w:t>
      </w:r>
      <w:proofErr w:type="gramEnd"/>
      <w:r w:rsidRPr="0087487B">
        <w:rPr>
          <w:rFonts w:eastAsia="Times New Roman"/>
        </w:rPr>
        <w:t xml:space="preserve"> at least 3 drugs (WHO); or 4 drugs (ATS/CDC/ERS/IDSA). </w:t>
      </w:r>
    </w:p>
    <w:p w14:paraId="5B5A84FD" w14:textId="77777777" w:rsidR="00F605B4" w:rsidRPr="0087487B" w:rsidRDefault="00F605B4" w:rsidP="00934C63">
      <w:pPr>
        <w:numPr>
          <w:ilvl w:val="0"/>
          <w:numId w:val="8"/>
        </w:numPr>
        <w:spacing w:before="100" w:beforeAutospacing="1" w:after="100" w:afterAutospacing="1" w:line="240" w:lineRule="auto"/>
        <w:divId w:val="448665177"/>
        <w:rPr>
          <w:rFonts w:eastAsia="Times New Roman"/>
        </w:rPr>
      </w:pPr>
      <w:r w:rsidRPr="0087487B">
        <w:rPr>
          <w:rFonts w:eastAsia="Times New Roman"/>
        </w:rPr>
        <w:lastRenderedPageBreak/>
        <w:t xml:space="preserve">Total duration of treatment should be 18–20 months (or at least 15–17 months post culture conversion) but can be adjusted according to treatment response </w:t>
      </w:r>
      <w:proofErr w:type="gramStart"/>
      <w:r w:rsidRPr="0087487B">
        <w:rPr>
          <w:rFonts w:eastAsia="Times New Roman"/>
        </w:rPr>
        <w:t>determined</w:t>
      </w:r>
      <w:proofErr w:type="gramEnd"/>
      <w:r w:rsidRPr="0087487B">
        <w:rPr>
          <w:rFonts w:eastAsia="Times New Roman"/>
        </w:rPr>
        <w:t xml:space="preserve"> by clinical, bacteriological and radiological parameters (WHO); ATS/CDC/ERS/IDSA suggest 15–21 months post culture conversion to define duration. </w:t>
      </w:r>
    </w:p>
    <w:p w14:paraId="3AACC683" w14:textId="77777777" w:rsidR="00F605B4" w:rsidRPr="0087487B" w:rsidRDefault="00F605B4" w:rsidP="00934C63">
      <w:pPr>
        <w:numPr>
          <w:ilvl w:val="0"/>
          <w:numId w:val="8"/>
        </w:numPr>
        <w:spacing w:before="100" w:beforeAutospacing="1" w:after="100" w:afterAutospacing="1" w:line="240" w:lineRule="auto"/>
        <w:divId w:val="448665177"/>
        <w:rPr>
          <w:rFonts w:eastAsia="Times New Roman"/>
        </w:rPr>
      </w:pPr>
      <w:r w:rsidRPr="0087487B">
        <w:rPr>
          <w:rFonts w:eastAsia="Times New Roman"/>
        </w:rPr>
        <w:t xml:space="preserve">In an MDR-TB case with </w:t>
      </w:r>
      <w:proofErr w:type="gramStart"/>
      <w:r w:rsidRPr="0087487B">
        <w:rPr>
          <w:rFonts w:eastAsia="Times New Roman"/>
        </w:rPr>
        <w:t>additional</w:t>
      </w:r>
      <w:proofErr w:type="gramEnd"/>
      <w:r w:rsidRPr="0087487B">
        <w:rPr>
          <w:rFonts w:eastAsia="Times New Roman"/>
        </w:rPr>
        <w:t xml:space="preserve"> fluoroquinolone resistance (or where one or more group A or B agents cannot be used), prolonged use of </w:t>
      </w:r>
      <w:proofErr w:type="spellStart"/>
      <w:r w:rsidRPr="0087487B">
        <w:rPr>
          <w:rFonts w:eastAsia="Times New Roman"/>
        </w:rPr>
        <w:t>bedaquiline</w:t>
      </w:r>
      <w:proofErr w:type="spellEnd"/>
      <w:r w:rsidRPr="0087487B">
        <w:rPr>
          <w:rFonts w:eastAsia="Times New Roman"/>
        </w:rPr>
        <w:t xml:space="preserve"> should be considered in addition to the selection of a group C agent(s) as prioritised to ensure a 5-drug regimen. </w:t>
      </w:r>
    </w:p>
    <w:p w14:paraId="114858F3" w14:textId="77777777" w:rsidR="00F605B4" w:rsidRPr="0087487B" w:rsidRDefault="00F605B4" w:rsidP="00934C63">
      <w:pPr>
        <w:numPr>
          <w:ilvl w:val="0"/>
          <w:numId w:val="8"/>
        </w:numPr>
        <w:spacing w:before="100" w:beforeAutospacing="1" w:after="100" w:afterAutospacing="1" w:line="240" w:lineRule="auto"/>
        <w:divId w:val="448665177"/>
        <w:rPr>
          <w:rFonts w:eastAsia="Times New Roman"/>
        </w:rPr>
      </w:pPr>
      <w:r w:rsidRPr="0087487B">
        <w:rPr>
          <w:rFonts w:eastAsia="Times New Roman"/>
        </w:rPr>
        <w:t xml:space="preserve">In a case of XDR-TB, the same approach to drug </w:t>
      </w:r>
      <w:proofErr w:type="gramStart"/>
      <w:r w:rsidRPr="0087487B">
        <w:rPr>
          <w:rFonts w:eastAsia="Times New Roman"/>
        </w:rPr>
        <w:t>selection</w:t>
      </w:r>
      <w:proofErr w:type="gramEnd"/>
      <w:r w:rsidRPr="0087487B">
        <w:rPr>
          <w:rFonts w:eastAsia="Times New Roman"/>
        </w:rPr>
        <w:t xml:space="preserve"> should be followed.</w:t>
      </w:r>
    </w:p>
    <w:p w14:paraId="52594B02" w14:textId="77777777" w:rsidR="00F45F04" w:rsidRPr="0087487B" w:rsidRDefault="00F45F04" w:rsidP="00F45F04">
      <w:pPr>
        <w:pStyle w:val="CDIFigures"/>
        <w:divId w:val="448665177"/>
      </w:pPr>
      <w:r w:rsidRPr="0087487B">
        <w:rPr>
          <w:rStyle w:val="Strong"/>
          <w:b/>
          <w:bCs w:val="0"/>
        </w:rPr>
        <w:t xml:space="preserve">Table 1: WHO drug groupings, </w:t>
      </w:r>
      <w:proofErr w:type="gramStart"/>
      <w:r w:rsidRPr="0087487B">
        <w:rPr>
          <w:rStyle w:val="Strong"/>
          <w:b/>
          <w:bCs w:val="0"/>
        </w:rPr>
        <w:t>2019</w:t>
      </w:r>
      <w:r w:rsidRPr="0087487B">
        <w:rPr>
          <w:rStyle w:val="Strong"/>
          <w:b/>
          <w:bCs w:val="0"/>
          <w:vertAlign w:val="superscript"/>
        </w:rPr>
        <w:t>a</w:t>
      </w:r>
      <w:proofErr w:type="gramEnd"/>
    </w:p>
    <w:tbl>
      <w:tblPr>
        <w:tblStyle w:val="CDI-StandardTable"/>
        <w:tblW w:w="0" w:type="auto"/>
        <w:tblLook w:val="04A0" w:firstRow="1" w:lastRow="0" w:firstColumn="1" w:lastColumn="0" w:noHBand="0" w:noVBand="1"/>
        <w:tblDescription w:val="Table 1 groups the available antimicrobials for treatment against TB into the three categories defined by the World Health Organization (WHO): Group A, Group B and Group C."/>
      </w:tblPr>
      <w:tblGrid>
        <w:gridCol w:w="1701"/>
        <w:gridCol w:w="8765"/>
      </w:tblGrid>
      <w:tr w:rsidR="00F45F04" w:rsidRPr="0087487B" w14:paraId="7DBE1796" w14:textId="77777777" w:rsidTr="00F45F04">
        <w:trPr>
          <w:cnfStyle w:val="100000000000" w:firstRow="1" w:lastRow="0" w:firstColumn="0" w:lastColumn="0" w:oddVBand="0" w:evenVBand="0" w:oddHBand="0" w:evenHBand="0" w:firstRowFirstColumn="0" w:firstRowLastColumn="0" w:lastRowFirstColumn="0" w:lastRowLastColumn="0"/>
          <w:divId w:val="448665177"/>
        </w:trPr>
        <w:tc>
          <w:tcPr>
            <w:tcW w:w="1701" w:type="dxa"/>
            <w:hideMark/>
          </w:tcPr>
          <w:p w14:paraId="469F5B60" w14:textId="77777777" w:rsidR="00F45F04" w:rsidRPr="0087487B" w:rsidRDefault="00F45F04" w:rsidP="00314B37">
            <w:pPr>
              <w:pStyle w:val="NormalWeb"/>
              <w:jc w:val="left"/>
              <w:rPr>
                <w:sz w:val="18"/>
                <w:szCs w:val="18"/>
              </w:rPr>
            </w:pPr>
            <w:r w:rsidRPr="0087487B">
              <w:rPr>
                <w:sz w:val="18"/>
                <w:szCs w:val="18"/>
              </w:rPr>
              <w:t>Grouping</w:t>
            </w:r>
          </w:p>
        </w:tc>
        <w:tc>
          <w:tcPr>
            <w:tcW w:w="8765" w:type="dxa"/>
            <w:hideMark/>
          </w:tcPr>
          <w:p w14:paraId="6A814EEF" w14:textId="77777777" w:rsidR="00F45F04" w:rsidRPr="0087487B" w:rsidRDefault="00F45F04" w:rsidP="00314B37">
            <w:pPr>
              <w:pStyle w:val="NormalWeb"/>
              <w:jc w:val="left"/>
              <w:rPr>
                <w:sz w:val="18"/>
                <w:szCs w:val="18"/>
              </w:rPr>
            </w:pPr>
            <w:r w:rsidRPr="0087487B">
              <w:rPr>
                <w:sz w:val="18"/>
                <w:szCs w:val="18"/>
              </w:rPr>
              <w:t>Antimicrobials</w:t>
            </w:r>
          </w:p>
        </w:tc>
      </w:tr>
      <w:tr w:rsidR="00F45F04" w:rsidRPr="0087487B" w14:paraId="30BDECF8" w14:textId="77777777" w:rsidTr="00F45F04">
        <w:trPr>
          <w:divId w:val="448665177"/>
        </w:trPr>
        <w:tc>
          <w:tcPr>
            <w:tcW w:w="1701" w:type="dxa"/>
            <w:hideMark/>
          </w:tcPr>
          <w:p w14:paraId="009BE3DC" w14:textId="77777777" w:rsidR="00F45F04" w:rsidRPr="0087487B" w:rsidRDefault="00F45F04" w:rsidP="00314B37">
            <w:pPr>
              <w:pStyle w:val="NormalWeb"/>
              <w:jc w:val="left"/>
              <w:rPr>
                <w:sz w:val="18"/>
                <w:szCs w:val="18"/>
              </w:rPr>
            </w:pPr>
            <w:r w:rsidRPr="0087487B">
              <w:rPr>
                <w:sz w:val="18"/>
                <w:szCs w:val="18"/>
              </w:rPr>
              <w:t>Group A</w:t>
            </w:r>
          </w:p>
        </w:tc>
        <w:tc>
          <w:tcPr>
            <w:tcW w:w="8765" w:type="dxa"/>
            <w:hideMark/>
          </w:tcPr>
          <w:p w14:paraId="778126E4" w14:textId="77777777" w:rsidR="00F45F04" w:rsidRPr="0087487B" w:rsidRDefault="00F45F04" w:rsidP="00314B37">
            <w:pPr>
              <w:pStyle w:val="NormalWeb"/>
              <w:jc w:val="left"/>
              <w:rPr>
                <w:sz w:val="18"/>
                <w:szCs w:val="18"/>
              </w:rPr>
            </w:pPr>
            <w:r w:rsidRPr="0087487B">
              <w:rPr>
                <w:sz w:val="18"/>
                <w:szCs w:val="18"/>
              </w:rPr>
              <w:t xml:space="preserve">Moxifloxacin or levofloxacin, </w:t>
            </w:r>
            <w:proofErr w:type="spellStart"/>
            <w:r w:rsidRPr="0087487B">
              <w:rPr>
                <w:sz w:val="18"/>
                <w:szCs w:val="18"/>
              </w:rPr>
              <w:t>bedaquiline</w:t>
            </w:r>
            <w:proofErr w:type="spellEnd"/>
            <w:r w:rsidRPr="0087487B">
              <w:rPr>
                <w:sz w:val="18"/>
                <w:szCs w:val="18"/>
              </w:rPr>
              <w:t>, linezolid</w:t>
            </w:r>
          </w:p>
        </w:tc>
      </w:tr>
      <w:tr w:rsidR="00F45F04" w:rsidRPr="0087487B" w14:paraId="19669B47" w14:textId="77777777" w:rsidTr="00F45F04">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0138B9F1" w14:textId="77777777" w:rsidR="00F45F04" w:rsidRPr="0087487B" w:rsidRDefault="00F45F04" w:rsidP="00314B37">
            <w:pPr>
              <w:pStyle w:val="NormalWeb"/>
              <w:jc w:val="left"/>
              <w:rPr>
                <w:sz w:val="18"/>
                <w:szCs w:val="18"/>
              </w:rPr>
            </w:pPr>
            <w:r w:rsidRPr="0087487B">
              <w:rPr>
                <w:sz w:val="18"/>
                <w:szCs w:val="18"/>
              </w:rPr>
              <w:t>Group B</w:t>
            </w:r>
          </w:p>
        </w:tc>
        <w:tc>
          <w:tcPr>
            <w:tcW w:w="8765" w:type="dxa"/>
            <w:hideMark/>
          </w:tcPr>
          <w:p w14:paraId="78420FD7" w14:textId="77777777" w:rsidR="00F45F04" w:rsidRPr="0087487B" w:rsidRDefault="00F45F04" w:rsidP="00314B37">
            <w:pPr>
              <w:pStyle w:val="NormalWeb"/>
              <w:jc w:val="left"/>
              <w:rPr>
                <w:sz w:val="18"/>
                <w:szCs w:val="18"/>
              </w:rPr>
            </w:pPr>
            <w:r w:rsidRPr="0087487B">
              <w:rPr>
                <w:sz w:val="18"/>
                <w:szCs w:val="18"/>
              </w:rPr>
              <w:t xml:space="preserve">Clofazimine and </w:t>
            </w:r>
            <w:proofErr w:type="spellStart"/>
            <w:r w:rsidRPr="0087487B">
              <w:rPr>
                <w:sz w:val="18"/>
                <w:szCs w:val="18"/>
              </w:rPr>
              <w:t>cycloserine</w:t>
            </w:r>
            <w:proofErr w:type="spellEnd"/>
          </w:p>
        </w:tc>
      </w:tr>
      <w:tr w:rsidR="00F45F04" w:rsidRPr="0087487B" w14:paraId="73F85DCD" w14:textId="77777777" w:rsidTr="00F45F04">
        <w:trPr>
          <w:divId w:val="448665177"/>
        </w:trPr>
        <w:tc>
          <w:tcPr>
            <w:tcW w:w="1701" w:type="dxa"/>
            <w:tcBorders>
              <w:bottom w:val="single" w:sz="4" w:space="0" w:color="808080" w:themeColor="background1" w:themeShade="80"/>
            </w:tcBorders>
            <w:hideMark/>
          </w:tcPr>
          <w:p w14:paraId="105FAEAA" w14:textId="77777777" w:rsidR="00F45F04" w:rsidRPr="0087487B" w:rsidRDefault="00F45F04" w:rsidP="00314B37">
            <w:pPr>
              <w:pStyle w:val="NormalWeb"/>
              <w:jc w:val="left"/>
              <w:rPr>
                <w:sz w:val="18"/>
                <w:szCs w:val="18"/>
              </w:rPr>
            </w:pPr>
            <w:r w:rsidRPr="0087487B">
              <w:rPr>
                <w:sz w:val="18"/>
                <w:szCs w:val="18"/>
              </w:rPr>
              <w:t>Group C</w:t>
            </w:r>
          </w:p>
        </w:tc>
        <w:tc>
          <w:tcPr>
            <w:tcW w:w="8765" w:type="dxa"/>
            <w:tcBorders>
              <w:bottom w:val="single" w:sz="4" w:space="0" w:color="808080" w:themeColor="background1" w:themeShade="80"/>
            </w:tcBorders>
            <w:hideMark/>
          </w:tcPr>
          <w:p w14:paraId="41BC6841" w14:textId="77777777" w:rsidR="00F45F04" w:rsidRPr="0087487B" w:rsidRDefault="00F45F04" w:rsidP="00314B37">
            <w:pPr>
              <w:pStyle w:val="NormalWeb"/>
              <w:jc w:val="left"/>
              <w:rPr>
                <w:sz w:val="18"/>
                <w:szCs w:val="18"/>
              </w:rPr>
            </w:pPr>
            <w:r w:rsidRPr="0087487B">
              <w:rPr>
                <w:sz w:val="18"/>
                <w:szCs w:val="18"/>
              </w:rPr>
              <w:t xml:space="preserve">Ethambutol, pyrazinamide, </w:t>
            </w:r>
            <w:proofErr w:type="spellStart"/>
            <w:r w:rsidRPr="0087487B">
              <w:rPr>
                <w:sz w:val="18"/>
                <w:szCs w:val="18"/>
              </w:rPr>
              <w:t>delamanid</w:t>
            </w:r>
            <w:proofErr w:type="spellEnd"/>
            <w:r w:rsidRPr="0087487B">
              <w:rPr>
                <w:sz w:val="18"/>
                <w:szCs w:val="18"/>
              </w:rPr>
              <w:t>, amikacin, carbapenem with clavulanic acid (meropenem or imipenem/</w:t>
            </w:r>
            <w:proofErr w:type="spellStart"/>
            <w:r w:rsidRPr="0087487B">
              <w:rPr>
                <w:sz w:val="18"/>
                <w:szCs w:val="18"/>
              </w:rPr>
              <w:t>cilastatin</w:t>
            </w:r>
            <w:proofErr w:type="spellEnd"/>
            <w:r w:rsidRPr="0087487B">
              <w:rPr>
                <w:sz w:val="18"/>
                <w:szCs w:val="18"/>
              </w:rPr>
              <w:t>), ethionamide and PAS (para-</w:t>
            </w:r>
            <w:proofErr w:type="spellStart"/>
            <w:r w:rsidRPr="0087487B">
              <w:rPr>
                <w:sz w:val="18"/>
                <w:szCs w:val="18"/>
              </w:rPr>
              <w:t>aminosalicylic</w:t>
            </w:r>
            <w:proofErr w:type="spellEnd"/>
            <w:r w:rsidRPr="0087487B">
              <w:rPr>
                <w:sz w:val="18"/>
                <w:szCs w:val="18"/>
              </w:rPr>
              <w:t xml:space="preserve"> acid)</w:t>
            </w:r>
          </w:p>
        </w:tc>
      </w:tr>
    </w:tbl>
    <w:p w14:paraId="1A3379A9" w14:textId="77777777" w:rsidR="00F45F04" w:rsidRPr="0087487B" w:rsidRDefault="00F45F04" w:rsidP="00F45F04">
      <w:pPr>
        <w:pStyle w:val="CDIfootnotes"/>
        <w:divId w:val="448665177"/>
      </w:pPr>
      <w:r w:rsidRPr="0087487B">
        <w:t>a</w:t>
      </w:r>
      <w:r w:rsidRPr="0087487B">
        <w:tab/>
        <w:t xml:space="preserve">Source: reference </w:t>
      </w:r>
      <w:proofErr w:type="gramStart"/>
      <w:r w:rsidRPr="0087487B">
        <w:t>4</w:t>
      </w:r>
      <w:proofErr w:type="gramEnd"/>
      <w:r w:rsidRPr="0087487B">
        <w:t xml:space="preserve">. </w:t>
      </w:r>
    </w:p>
    <w:p w14:paraId="1F890F16" w14:textId="77777777" w:rsidR="00F605B4" w:rsidRPr="0087487B" w:rsidRDefault="00F605B4">
      <w:pPr>
        <w:pStyle w:val="Heading2"/>
        <w:divId w:val="448665177"/>
        <w:rPr>
          <w:rFonts w:eastAsia="Times New Roman"/>
        </w:rPr>
      </w:pPr>
      <w:r w:rsidRPr="0087487B">
        <w:rPr>
          <w:rFonts w:eastAsia="Times New Roman"/>
        </w:rPr>
        <w:t xml:space="preserve">Children </w:t>
      </w:r>
    </w:p>
    <w:p w14:paraId="68148A4B" w14:textId="77777777" w:rsidR="00F605B4" w:rsidRPr="0087487B" w:rsidRDefault="00F605B4" w:rsidP="000F29CD">
      <w:pPr>
        <w:divId w:val="448665177"/>
      </w:pPr>
      <w:r w:rsidRPr="0087487B">
        <w:t xml:space="preserve">The same principles that guide regimen design in adults can </w:t>
      </w:r>
      <w:proofErr w:type="gramStart"/>
      <w:r w:rsidRPr="0087487B">
        <w:t>be used</w:t>
      </w:r>
      <w:proofErr w:type="gramEnd"/>
      <w:r w:rsidRPr="0087487B">
        <w:t xml:space="preserve"> in children.</w:t>
      </w:r>
      <w:r w:rsidRPr="0087487B">
        <w:rPr>
          <w:vertAlign w:val="superscript"/>
        </w:rPr>
        <w:t>6,7</w:t>
      </w:r>
      <w:r w:rsidRPr="0087487B">
        <w:t xml:space="preserve"> However, some key aspects should be noted: </w:t>
      </w:r>
    </w:p>
    <w:p w14:paraId="770A4E23" w14:textId="77777777" w:rsidR="00F605B4" w:rsidRPr="0087487B" w:rsidRDefault="00F605B4" w:rsidP="00934C63">
      <w:pPr>
        <w:numPr>
          <w:ilvl w:val="0"/>
          <w:numId w:val="9"/>
        </w:numPr>
        <w:spacing w:before="100" w:beforeAutospacing="1" w:after="100" w:afterAutospacing="1" w:line="240" w:lineRule="auto"/>
        <w:divId w:val="448665177"/>
        <w:rPr>
          <w:rFonts w:eastAsia="Times New Roman"/>
        </w:rPr>
      </w:pPr>
      <w:r w:rsidRPr="0087487B">
        <w:rPr>
          <w:rFonts w:eastAsia="Times New Roman"/>
        </w:rPr>
        <w:t xml:space="preserve">In young children the diagnosis will often be based on clinical and radiological findings in association with a history of close contact or </w:t>
      </w:r>
      <w:proofErr w:type="gramStart"/>
      <w:r w:rsidRPr="0087487B">
        <w:rPr>
          <w:rFonts w:eastAsia="Times New Roman"/>
        </w:rPr>
        <w:t>previous</w:t>
      </w:r>
      <w:proofErr w:type="gramEnd"/>
      <w:r w:rsidRPr="0087487B">
        <w:rPr>
          <w:rFonts w:eastAsia="Times New Roman"/>
        </w:rPr>
        <w:t xml:space="preserve"> treatment. </w:t>
      </w:r>
    </w:p>
    <w:p w14:paraId="61648E52" w14:textId="77777777" w:rsidR="00F605B4" w:rsidRPr="0087487B" w:rsidRDefault="00F605B4" w:rsidP="00934C63">
      <w:pPr>
        <w:numPr>
          <w:ilvl w:val="0"/>
          <w:numId w:val="9"/>
        </w:numPr>
        <w:spacing w:before="100" w:beforeAutospacing="1" w:after="100" w:afterAutospacing="1" w:line="240" w:lineRule="auto"/>
        <w:divId w:val="448665177"/>
        <w:rPr>
          <w:rFonts w:eastAsia="Times New Roman"/>
        </w:rPr>
      </w:pPr>
      <w:proofErr w:type="gramStart"/>
      <w:r w:rsidRPr="0087487B">
        <w:rPr>
          <w:rFonts w:eastAsia="Times New Roman"/>
        </w:rPr>
        <w:t>In the event of</w:t>
      </w:r>
      <w:proofErr w:type="gramEnd"/>
      <w:r w:rsidRPr="0087487B">
        <w:rPr>
          <w:rFonts w:eastAsia="Times New Roman"/>
        </w:rPr>
        <w:t xml:space="preserve"> a clinical diagnosis, the regimen design should be based on the DST result of the likely source case. </w:t>
      </w:r>
    </w:p>
    <w:p w14:paraId="69B4D87F" w14:textId="77777777" w:rsidR="00F605B4" w:rsidRPr="0087487B" w:rsidRDefault="00F605B4" w:rsidP="00934C63">
      <w:pPr>
        <w:numPr>
          <w:ilvl w:val="0"/>
          <w:numId w:val="9"/>
        </w:numPr>
        <w:spacing w:before="100" w:beforeAutospacing="1" w:after="100" w:afterAutospacing="1" w:line="240" w:lineRule="auto"/>
        <w:divId w:val="448665177"/>
        <w:rPr>
          <w:rFonts w:eastAsia="Times New Roman"/>
        </w:rPr>
      </w:pPr>
      <w:r w:rsidRPr="0087487B">
        <w:rPr>
          <w:rFonts w:eastAsia="Times New Roman"/>
        </w:rPr>
        <w:t xml:space="preserve">An all-oral regimen should be used – </w:t>
      </w:r>
      <w:r w:rsidRPr="0087487B">
        <w:rPr>
          <w:rStyle w:val="Strong"/>
          <w:rFonts w:eastAsia="Times New Roman"/>
        </w:rPr>
        <w:t>the use of amikacin should be avoided</w:t>
      </w:r>
      <w:r w:rsidRPr="0087487B">
        <w:rPr>
          <w:rFonts w:eastAsia="Times New Roman"/>
        </w:rPr>
        <w:t xml:space="preserve"> unless there is no other reasonable </w:t>
      </w:r>
      <w:proofErr w:type="gramStart"/>
      <w:r w:rsidRPr="0087487B">
        <w:rPr>
          <w:rFonts w:eastAsia="Times New Roman"/>
        </w:rPr>
        <w:t>option</w:t>
      </w:r>
      <w:proofErr w:type="gramEnd"/>
      <w:r w:rsidRPr="0087487B">
        <w:rPr>
          <w:rFonts w:eastAsia="Times New Roman"/>
        </w:rPr>
        <w:t xml:space="preserve">, due to the potential for a profound impact of hearing loss on a child’s language and learning development. </w:t>
      </w:r>
    </w:p>
    <w:p w14:paraId="59E271E0" w14:textId="77777777" w:rsidR="00F605B4" w:rsidRPr="0087487B" w:rsidRDefault="00F605B4" w:rsidP="00934C63">
      <w:pPr>
        <w:numPr>
          <w:ilvl w:val="0"/>
          <w:numId w:val="9"/>
        </w:numPr>
        <w:spacing w:before="100" w:beforeAutospacing="1" w:after="100" w:afterAutospacing="1" w:line="240" w:lineRule="auto"/>
        <w:divId w:val="448665177"/>
        <w:rPr>
          <w:rFonts w:eastAsia="Times New Roman"/>
        </w:rPr>
      </w:pPr>
      <w:proofErr w:type="spellStart"/>
      <w:r w:rsidRPr="0087487B">
        <w:rPr>
          <w:rFonts w:eastAsia="Times New Roman"/>
        </w:rPr>
        <w:t>Bedaquiline</w:t>
      </w:r>
      <w:proofErr w:type="spellEnd"/>
      <w:r w:rsidRPr="0087487B">
        <w:rPr>
          <w:rFonts w:eastAsia="Times New Roman"/>
        </w:rPr>
        <w:t xml:space="preserve"> and </w:t>
      </w:r>
      <w:proofErr w:type="spellStart"/>
      <w:r w:rsidRPr="0087487B">
        <w:rPr>
          <w:rFonts w:eastAsia="Times New Roman"/>
        </w:rPr>
        <w:t>delamanid</w:t>
      </w:r>
      <w:proofErr w:type="spellEnd"/>
      <w:r w:rsidRPr="0087487B">
        <w:rPr>
          <w:rFonts w:eastAsia="Times New Roman"/>
        </w:rPr>
        <w:t xml:space="preserve"> can </w:t>
      </w:r>
      <w:proofErr w:type="gramStart"/>
      <w:r w:rsidRPr="0087487B">
        <w:rPr>
          <w:rFonts w:eastAsia="Times New Roman"/>
        </w:rPr>
        <w:t>be used</w:t>
      </w:r>
      <w:proofErr w:type="gramEnd"/>
      <w:r w:rsidRPr="0087487B">
        <w:rPr>
          <w:rFonts w:eastAsia="Times New Roman"/>
        </w:rPr>
        <w:t xml:space="preserve"> for all age groups, using WHO recommended age and weight specific dosing. </w:t>
      </w:r>
    </w:p>
    <w:p w14:paraId="5F37943C" w14:textId="77777777" w:rsidR="00F605B4" w:rsidRPr="0087487B" w:rsidRDefault="00F605B4" w:rsidP="00934C63">
      <w:pPr>
        <w:numPr>
          <w:ilvl w:val="0"/>
          <w:numId w:val="9"/>
        </w:numPr>
        <w:spacing w:before="100" w:beforeAutospacing="1" w:after="100" w:afterAutospacing="1" w:line="240" w:lineRule="auto"/>
        <w:divId w:val="448665177"/>
        <w:rPr>
          <w:rFonts w:eastAsia="Times New Roman"/>
        </w:rPr>
      </w:pPr>
      <w:r w:rsidRPr="0087487B">
        <w:rPr>
          <w:rFonts w:eastAsia="Times New Roman"/>
        </w:rPr>
        <w:t xml:space="preserve">Weight should be closely </w:t>
      </w:r>
      <w:proofErr w:type="gramStart"/>
      <w:r w:rsidRPr="0087487B">
        <w:rPr>
          <w:rFonts w:eastAsia="Times New Roman"/>
        </w:rPr>
        <w:t>monitored</w:t>
      </w:r>
      <w:proofErr w:type="gramEnd"/>
      <w:r w:rsidRPr="0087487B">
        <w:rPr>
          <w:rFonts w:eastAsia="Times New Roman"/>
        </w:rPr>
        <w:t xml:space="preserve"> and drug doses adjusted with changes in weight. </w:t>
      </w:r>
    </w:p>
    <w:p w14:paraId="723EB748" w14:textId="77777777" w:rsidR="00F605B4" w:rsidRPr="0087487B" w:rsidRDefault="00F605B4" w:rsidP="00934C63">
      <w:pPr>
        <w:numPr>
          <w:ilvl w:val="0"/>
          <w:numId w:val="9"/>
        </w:numPr>
        <w:spacing w:before="100" w:beforeAutospacing="1" w:after="100" w:afterAutospacing="1" w:line="240" w:lineRule="auto"/>
        <w:divId w:val="448665177"/>
        <w:rPr>
          <w:rFonts w:eastAsia="Times New Roman"/>
        </w:rPr>
      </w:pPr>
      <w:r w:rsidRPr="0087487B">
        <w:rPr>
          <w:rFonts w:eastAsia="Times New Roman"/>
        </w:rPr>
        <w:t xml:space="preserve">Linezolid use needs careful consideration due to toxicity risk. Shorter durations could </w:t>
      </w:r>
      <w:proofErr w:type="gramStart"/>
      <w:r w:rsidRPr="0087487B">
        <w:rPr>
          <w:rFonts w:eastAsia="Times New Roman"/>
        </w:rPr>
        <w:t>be considered</w:t>
      </w:r>
      <w:proofErr w:type="gramEnd"/>
      <w:r w:rsidRPr="0087487B">
        <w:rPr>
          <w:rFonts w:eastAsia="Times New Roman"/>
        </w:rPr>
        <w:t xml:space="preserve"> dependent on disease severity and fluoroquinolone susceptibility. Close monitoring for bone marrow toxicity, optic neuritis and peripheral neuropathy is essential. </w:t>
      </w:r>
    </w:p>
    <w:p w14:paraId="6B0A3E2A" w14:textId="77777777" w:rsidR="00F605B4" w:rsidRPr="0087487B" w:rsidRDefault="00F605B4" w:rsidP="00934C63">
      <w:pPr>
        <w:numPr>
          <w:ilvl w:val="0"/>
          <w:numId w:val="9"/>
        </w:numPr>
        <w:spacing w:before="100" w:beforeAutospacing="1" w:after="100" w:afterAutospacing="1" w:line="240" w:lineRule="auto"/>
        <w:divId w:val="448665177"/>
        <w:rPr>
          <w:rFonts w:eastAsia="Times New Roman"/>
        </w:rPr>
      </w:pPr>
      <w:r w:rsidRPr="0087487B">
        <w:rPr>
          <w:rStyle w:val="Strong"/>
          <w:rFonts w:eastAsia="Times New Roman"/>
        </w:rPr>
        <w:t xml:space="preserve">Child-friendly dispersible tablet formulations should </w:t>
      </w:r>
      <w:proofErr w:type="gramStart"/>
      <w:r w:rsidRPr="0087487B">
        <w:rPr>
          <w:rStyle w:val="Strong"/>
          <w:rFonts w:eastAsia="Times New Roman"/>
        </w:rPr>
        <w:t>be used</w:t>
      </w:r>
      <w:proofErr w:type="gramEnd"/>
      <w:r w:rsidRPr="0087487B">
        <w:rPr>
          <w:rStyle w:val="Strong"/>
          <w:rFonts w:eastAsia="Times New Roman"/>
        </w:rPr>
        <w:t xml:space="preserve"> where possible</w:t>
      </w:r>
      <w:r w:rsidRPr="0087487B">
        <w:rPr>
          <w:rFonts w:eastAsia="Times New Roman"/>
        </w:rPr>
        <w:t xml:space="preserve"> – the use of adult preparations risks imprecise dosing. </w:t>
      </w:r>
    </w:p>
    <w:p w14:paraId="02FFB897" w14:textId="77777777" w:rsidR="00F605B4" w:rsidRPr="0087487B" w:rsidRDefault="00F605B4" w:rsidP="00EF656B">
      <w:pPr>
        <w:pStyle w:val="Heading1"/>
        <w:divId w:val="448665177"/>
      </w:pPr>
      <w:r w:rsidRPr="0087487B">
        <w:t xml:space="preserve">Isoniazid mono-resistance (rifampicin susceptible) </w:t>
      </w:r>
    </w:p>
    <w:p w14:paraId="2759188D" w14:textId="77777777" w:rsidR="00F605B4" w:rsidRPr="0087487B" w:rsidRDefault="00F605B4" w:rsidP="000F29CD">
      <w:pPr>
        <w:divId w:val="448665177"/>
      </w:pPr>
      <w:r w:rsidRPr="0087487B">
        <w:t xml:space="preserve">WHO guidance on management of isoniazid resistant but rifampicin susceptible TB has been in place since 2018 and includes the following: </w:t>
      </w:r>
    </w:p>
    <w:p w14:paraId="200FACB3" w14:textId="77777777" w:rsidR="00F605B4" w:rsidRPr="0087487B" w:rsidRDefault="00F605B4" w:rsidP="00934C63">
      <w:pPr>
        <w:numPr>
          <w:ilvl w:val="0"/>
          <w:numId w:val="10"/>
        </w:numPr>
        <w:spacing w:before="100" w:beforeAutospacing="1" w:after="100" w:afterAutospacing="1" w:line="240" w:lineRule="auto"/>
        <w:divId w:val="448665177"/>
        <w:rPr>
          <w:rFonts w:eastAsia="Times New Roman"/>
        </w:rPr>
      </w:pPr>
      <w:r w:rsidRPr="0087487B">
        <w:rPr>
          <w:rFonts w:eastAsia="Times New Roman"/>
        </w:rPr>
        <w:t xml:space="preserve">A combination of rifampicin, ethambutol, pyrazinamide and levofloxacin or moxifloxacin (levofloxacin preferred) for 6 months. </w:t>
      </w:r>
    </w:p>
    <w:p w14:paraId="1461007C" w14:textId="77777777" w:rsidR="00F605B4" w:rsidRPr="0087487B" w:rsidRDefault="00F605B4" w:rsidP="00934C63">
      <w:pPr>
        <w:numPr>
          <w:ilvl w:val="0"/>
          <w:numId w:val="10"/>
        </w:numPr>
        <w:spacing w:before="100" w:beforeAutospacing="1" w:after="100" w:afterAutospacing="1" w:line="240" w:lineRule="auto"/>
        <w:divId w:val="448665177"/>
        <w:rPr>
          <w:rFonts w:eastAsia="Times New Roman"/>
        </w:rPr>
      </w:pPr>
      <w:r w:rsidRPr="0087487B">
        <w:rPr>
          <w:rFonts w:eastAsia="Times New Roman"/>
        </w:rPr>
        <w:t xml:space="preserve">If disease is severe, 9 months is </w:t>
      </w:r>
      <w:proofErr w:type="gramStart"/>
      <w:r w:rsidRPr="0087487B">
        <w:rPr>
          <w:rFonts w:eastAsia="Times New Roman"/>
        </w:rPr>
        <w:t>advised</w:t>
      </w:r>
      <w:proofErr w:type="gramEnd"/>
      <w:r w:rsidRPr="0087487B">
        <w:rPr>
          <w:rFonts w:eastAsia="Times New Roman"/>
        </w:rPr>
        <w:t xml:space="preserve">. </w:t>
      </w:r>
    </w:p>
    <w:p w14:paraId="685C4406" w14:textId="77777777" w:rsidR="00F605B4" w:rsidRPr="0087487B" w:rsidRDefault="00F605B4" w:rsidP="00934C63">
      <w:pPr>
        <w:numPr>
          <w:ilvl w:val="0"/>
          <w:numId w:val="10"/>
        </w:numPr>
        <w:spacing w:before="100" w:beforeAutospacing="1" w:after="100" w:afterAutospacing="1" w:line="240" w:lineRule="auto"/>
        <w:divId w:val="448665177"/>
        <w:rPr>
          <w:rFonts w:eastAsia="Times New Roman"/>
        </w:rPr>
      </w:pPr>
      <w:r w:rsidRPr="0087487B">
        <w:rPr>
          <w:rFonts w:eastAsia="Times New Roman"/>
        </w:rPr>
        <w:t xml:space="preserve">If low-level isoniazid resistance </w:t>
      </w:r>
      <w:proofErr w:type="gramStart"/>
      <w:r w:rsidRPr="0087487B">
        <w:rPr>
          <w:rFonts w:eastAsia="Times New Roman"/>
        </w:rPr>
        <w:t>is confirmed</w:t>
      </w:r>
      <w:proofErr w:type="gramEnd"/>
      <w:r w:rsidRPr="0087487B">
        <w:rPr>
          <w:rFonts w:eastAsia="Times New Roman"/>
        </w:rPr>
        <w:t xml:space="preserve">, the use of high dose isoniazid can be considered. </w:t>
      </w:r>
    </w:p>
    <w:p w14:paraId="36AA961D" w14:textId="77777777" w:rsidR="00F605B4" w:rsidRPr="0087487B" w:rsidRDefault="00F605B4" w:rsidP="000F29CD">
      <w:pPr>
        <w:divId w:val="448665177"/>
      </w:pPr>
      <w:r w:rsidRPr="0087487B">
        <w:t xml:space="preserve">The ATS/CDC/ERS/IDSA guidance also suggests that pyrazinamide can </w:t>
      </w:r>
      <w:proofErr w:type="gramStart"/>
      <w:r w:rsidRPr="0087487B">
        <w:t>be ceased</w:t>
      </w:r>
      <w:proofErr w:type="gramEnd"/>
      <w:r w:rsidRPr="0087487B">
        <w:t xml:space="preserve"> after two months in those with less severe disease.</w:t>
      </w:r>
      <w:r w:rsidRPr="0087487B">
        <w:rPr>
          <w:vertAlign w:val="superscript"/>
        </w:rPr>
        <w:t xml:space="preserve">5 </w:t>
      </w:r>
    </w:p>
    <w:p w14:paraId="494D9AA5" w14:textId="77777777" w:rsidR="00F605B4" w:rsidRPr="0087487B" w:rsidRDefault="00F605B4" w:rsidP="000F29CD">
      <w:pPr>
        <w:divId w:val="448665177"/>
      </w:pPr>
      <w:r w:rsidRPr="0087487B">
        <w:lastRenderedPageBreak/>
        <w:t xml:space="preserve">If a fluoroquinolone cannot be used, the previously recommended combination of rifampicin, </w:t>
      </w:r>
      <w:proofErr w:type="gramStart"/>
      <w:r w:rsidRPr="0087487B">
        <w:t>ethambutol</w:t>
      </w:r>
      <w:proofErr w:type="gramEnd"/>
      <w:r w:rsidRPr="0087487B">
        <w:t xml:space="preserve"> and pyrazinamide (with or without high dose isoniazid) for 6–9 months is still considered acceptable particularly in less severe disease.</w:t>
      </w:r>
      <w:r w:rsidRPr="0087487B">
        <w:rPr>
          <w:vertAlign w:val="superscript"/>
        </w:rPr>
        <w:t xml:space="preserve">4 </w:t>
      </w:r>
    </w:p>
    <w:p w14:paraId="72BFCE35" w14:textId="77777777" w:rsidR="000F29CD" w:rsidRPr="0087487B" w:rsidRDefault="000F29CD">
      <w:pPr>
        <w:rPr>
          <w:rFonts w:asciiTheme="majorHAnsi" w:eastAsia="Times New Roman" w:hAnsiTheme="majorHAnsi" w:cstheme="majorBidi"/>
          <w:b/>
          <w:bCs/>
          <w:sz w:val="32"/>
          <w:szCs w:val="28"/>
        </w:rPr>
      </w:pPr>
      <w:r w:rsidRPr="0087487B">
        <w:rPr>
          <w:rFonts w:eastAsia="Times New Roman"/>
        </w:rPr>
        <w:br w:type="page"/>
      </w:r>
    </w:p>
    <w:p w14:paraId="41328A0D" w14:textId="029D973E" w:rsidR="00F605B4" w:rsidRPr="0087487B" w:rsidRDefault="00F605B4">
      <w:pPr>
        <w:pStyle w:val="Heading1"/>
        <w:divId w:val="448665177"/>
        <w:rPr>
          <w:rFonts w:eastAsia="Times New Roman"/>
        </w:rPr>
      </w:pPr>
      <w:r w:rsidRPr="0087487B">
        <w:rPr>
          <w:rFonts w:eastAsia="Times New Roman"/>
        </w:rPr>
        <w:lastRenderedPageBreak/>
        <w:t xml:space="preserve">Rifampicin mono-resistance (isoniazid susceptible) </w:t>
      </w:r>
    </w:p>
    <w:p w14:paraId="4AE6F3F5" w14:textId="77777777" w:rsidR="00F605B4" w:rsidRPr="0087487B" w:rsidRDefault="00F605B4" w:rsidP="000F29CD">
      <w:pPr>
        <w:divId w:val="448665177"/>
      </w:pPr>
      <w:r w:rsidRPr="0087487B">
        <w:t>The WHO advise the same treatment for both rifampicin mono-resistant TB (RR-TB) and MDR-TB.</w:t>
      </w:r>
      <w:r w:rsidRPr="0087487B">
        <w:rPr>
          <w:vertAlign w:val="superscript"/>
        </w:rPr>
        <w:t>1,3,4</w:t>
      </w:r>
      <w:r w:rsidRPr="0087487B">
        <w:t xml:space="preserve"> Although isoniazid is a potent bactericidal drug and theoretically still available for treatment, the most recent ATS/CDC/ERS/IDSA guidelines also make no new recommendation for RR-TB that is isoniazid susceptible. </w:t>
      </w:r>
    </w:p>
    <w:p w14:paraId="1929D2AD" w14:textId="77777777" w:rsidR="00F605B4" w:rsidRPr="0087487B" w:rsidRDefault="00F605B4">
      <w:pPr>
        <w:pStyle w:val="Heading1"/>
        <w:divId w:val="448665177"/>
        <w:rPr>
          <w:rFonts w:eastAsia="Times New Roman"/>
        </w:rPr>
      </w:pPr>
      <w:r w:rsidRPr="0087487B">
        <w:rPr>
          <w:rFonts w:eastAsia="Times New Roman"/>
        </w:rPr>
        <w:t xml:space="preserve">Surgery </w:t>
      </w:r>
    </w:p>
    <w:p w14:paraId="7483F410" w14:textId="77777777" w:rsidR="00F605B4" w:rsidRPr="0087487B" w:rsidRDefault="00F605B4" w:rsidP="000F29CD">
      <w:pPr>
        <w:divId w:val="448665177"/>
      </w:pPr>
      <w:r w:rsidRPr="0087487B">
        <w:t>In patients with pulmonary DR-TB and a high likelihood of treatment failure or relapse despite optimal drug therapy (</w:t>
      </w:r>
      <w:proofErr w:type="gramStart"/>
      <w:r w:rsidRPr="0087487B">
        <w:t>e.g.</w:t>
      </w:r>
      <w:proofErr w:type="gramEnd"/>
      <w:r w:rsidRPr="0087487B">
        <w:t xml:space="preserve"> XDR-TB), surgery can be considered as an adjunct to medical treatment using the following criteria: </w:t>
      </w:r>
    </w:p>
    <w:p w14:paraId="0536F304" w14:textId="77777777" w:rsidR="00F605B4" w:rsidRPr="0087487B" w:rsidRDefault="00F605B4" w:rsidP="00934C63">
      <w:pPr>
        <w:numPr>
          <w:ilvl w:val="0"/>
          <w:numId w:val="11"/>
        </w:numPr>
        <w:spacing w:before="100" w:beforeAutospacing="1" w:after="100" w:afterAutospacing="1" w:line="240" w:lineRule="auto"/>
        <w:divId w:val="448665177"/>
        <w:rPr>
          <w:rFonts w:eastAsia="Times New Roman"/>
        </w:rPr>
      </w:pPr>
      <w:r w:rsidRPr="0087487B">
        <w:rPr>
          <w:rFonts w:eastAsia="Times New Roman"/>
        </w:rPr>
        <w:t xml:space="preserve">a multidisciplinary approach, </w:t>
      </w:r>
      <w:proofErr w:type="gramStart"/>
      <w:r w:rsidRPr="0087487B">
        <w:rPr>
          <w:rFonts w:eastAsia="Times New Roman"/>
        </w:rPr>
        <w:t>that</w:t>
      </w:r>
      <w:proofErr w:type="gramEnd"/>
      <w:r w:rsidRPr="0087487B">
        <w:rPr>
          <w:rFonts w:eastAsia="Times New Roman"/>
        </w:rPr>
        <w:t xml:space="preserve"> includes close consultation with a Thoracic surgeon with experience in lung resection and treating patients with TB, to ensure careful patient selection based on clinical, bacteriologic and radiologic information and advice on optimal timing of the surgery </w:t>
      </w:r>
    </w:p>
    <w:p w14:paraId="281594D4" w14:textId="77777777" w:rsidR="00F605B4" w:rsidRPr="0087487B" w:rsidRDefault="00F605B4" w:rsidP="00934C63">
      <w:pPr>
        <w:numPr>
          <w:ilvl w:val="0"/>
          <w:numId w:val="11"/>
        </w:numPr>
        <w:spacing w:before="100" w:beforeAutospacing="1" w:after="100" w:afterAutospacing="1" w:line="240" w:lineRule="auto"/>
        <w:divId w:val="448665177"/>
        <w:rPr>
          <w:rFonts w:eastAsia="Times New Roman"/>
        </w:rPr>
      </w:pPr>
      <w:r w:rsidRPr="0087487B">
        <w:rPr>
          <w:rFonts w:eastAsia="Times New Roman"/>
        </w:rPr>
        <w:t xml:space="preserve">disease is </w:t>
      </w:r>
      <w:proofErr w:type="gramStart"/>
      <w:r w:rsidRPr="0087487B">
        <w:rPr>
          <w:rFonts w:eastAsia="Times New Roman"/>
        </w:rPr>
        <w:t>largely localised</w:t>
      </w:r>
      <w:proofErr w:type="gramEnd"/>
      <w:r w:rsidRPr="0087487B">
        <w:rPr>
          <w:rFonts w:eastAsia="Times New Roman"/>
        </w:rPr>
        <w:t xml:space="preserve"> and suitable for resection (wedge resection, segmentectomy or lobectomy) </w:t>
      </w:r>
    </w:p>
    <w:p w14:paraId="5EFB6194" w14:textId="77777777" w:rsidR="00F605B4" w:rsidRPr="0087487B" w:rsidRDefault="00F605B4" w:rsidP="00934C63">
      <w:pPr>
        <w:numPr>
          <w:ilvl w:val="0"/>
          <w:numId w:val="11"/>
        </w:numPr>
        <w:spacing w:before="100" w:beforeAutospacing="1" w:after="100" w:afterAutospacing="1" w:line="240" w:lineRule="auto"/>
        <w:divId w:val="448665177"/>
        <w:rPr>
          <w:rFonts w:eastAsia="Times New Roman"/>
        </w:rPr>
      </w:pPr>
      <w:r w:rsidRPr="0087487B">
        <w:rPr>
          <w:rFonts w:eastAsia="Times New Roman"/>
        </w:rPr>
        <w:t xml:space="preserve">where the general health status of the patient and co-morbid conditions </w:t>
      </w:r>
      <w:proofErr w:type="gramStart"/>
      <w:r w:rsidRPr="0087487B">
        <w:rPr>
          <w:rFonts w:eastAsia="Times New Roman"/>
        </w:rPr>
        <w:t>favour</w:t>
      </w:r>
      <w:proofErr w:type="gramEnd"/>
      <w:r w:rsidRPr="0087487B">
        <w:rPr>
          <w:rFonts w:eastAsia="Times New Roman"/>
        </w:rPr>
        <w:t xml:space="preserve"> a positive surgical outcome and longer term survival. </w:t>
      </w:r>
    </w:p>
    <w:p w14:paraId="6CDB5F6D" w14:textId="77777777" w:rsidR="00F605B4" w:rsidRPr="0087487B" w:rsidRDefault="00F605B4">
      <w:pPr>
        <w:pStyle w:val="Heading1"/>
        <w:divId w:val="448665177"/>
        <w:rPr>
          <w:rFonts w:eastAsia="Times New Roman"/>
        </w:rPr>
      </w:pPr>
      <w:r w:rsidRPr="0087487B">
        <w:rPr>
          <w:rFonts w:eastAsia="Times New Roman"/>
        </w:rPr>
        <w:t xml:space="preserve">Acknowledgements </w:t>
      </w:r>
    </w:p>
    <w:p w14:paraId="36E8D1AF" w14:textId="77777777" w:rsidR="00F605B4" w:rsidRPr="0087487B" w:rsidRDefault="00F605B4" w:rsidP="000F29CD">
      <w:pPr>
        <w:divId w:val="448665177"/>
      </w:pPr>
      <w:r w:rsidRPr="0087487B">
        <w:t xml:space="preserve">Several individuals contributed to the production of this document. The authors gratefully acknowledge the expert input from Ivan Bastian, Justin Denholm, Ben Marais and Greg Fox and the </w:t>
      </w:r>
      <w:proofErr w:type="gramStart"/>
      <w:r w:rsidRPr="0087487B">
        <w:t>assistance</w:t>
      </w:r>
      <w:proofErr w:type="gramEnd"/>
      <w:r w:rsidRPr="0087487B">
        <w:t xml:space="preserve"> of the Communicable Disease and Epidemiology Section of the Australian Government Department of Health and Aged Care. </w:t>
      </w:r>
    </w:p>
    <w:p w14:paraId="1CC0EE6F" w14:textId="77777777" w:rsidR="00F605B4" w:rsidRPr="0087487B" w:rsidRDefault="00F605B4" w:rsidP="000F29CD">
      <w:pPr>
        <w:divId w:val="448665177"/>
      </w:pPr>
      <w:r w:rsidRPr="0087487B">
        <w:t xml:space="preserve">The National Tuberculosis Advisory Committee (NTAC) and the NTAC Secretariat </w:t>
      </w:r>
      <w:proofErr w:type="gramStart"/>
      <w:r w:rsidRPr="0087487B">
        <w:t>provided</w:t>
      </w:r>
      <w:proofErr w:type="gramEnd"/>
      <w:r w:rsidRPr="0087487B">
        <w:t xml:space="preserve"> oversight in the development process.</w:t>
      </w:r>
    </w:p>
    <w:p w14:paraId="23ADE691" w14:textId="77777777" w:rsidR="00F038A7" w:rsidRPr="0087487B" w:rsidRDefault="00F038A7">
      <w:pPr>
        <w:rPr>
          <w:rFonts w:asciiTheme="majorHAnsi" w:eastAsiaTheme="majorEastAsia" w:hAnsiTheme="majorHAnsi" w:cstheme="majorBidi"/>
          <w:b/>
          <w:bCs/>
          <w:sz w:val="32"/>
          <w:szCs w:val="28"/>
        </w:rPr>
      </w:pPr>
      <w:r w:rsidRPr="0087487B">
        <w:br w:type="page"/>
      </w:r>
    </w:p>
    <w:p w14:paraId="3087D338" w14:textId="7B91CE8D" w:rsidR="00F605B4" w:rsidRPr="0087487B" w:rsidRDefault="00F605B4" w:rsidP="00976A24">
      <w:pPr>
        <w:pStyle w:val="Heading1"/>
        <w:divId w:val="448665177"/>
      </w:pPr>
      <w:r w:rsidRPr="0087487B">
        <w:lastRenderedPageBreak/>
        <w:t xml:space="preserve">List of abbreviations </w:t>
      </w:r>
    </w:p>
    <w:tbl>
      <w:tblPr>
        <w:tblStyle w:val="CDI-StandardTable"/>
        <w:tblW w:w="0" w:type="auto"/>
        <w:tblCellMar>
          <w:top w:w="113" w:type="dxa"/>
          <w:bottom w:w="113" w:type="dxa"/>
        </w:tblCellMar>
        <w:tblLook w:val="04A0" w:firstRow="1" w:lastRow="0" w:firstColumn="1" w:lastColumn="0" w:noHBand="0" w:noVBand="1"/>
        <w:tblDescription w:val="A list of abbreviations used within this document."/>
      </w:tblPr>
      <w:tblGrid>
        <w:gridCol w:w="1701"/>
        <w:gridCol w:w="8739"/>
      </w:tblGrid>
      <w:tr w:rsidR="00F038A7" w:rsidRPr="0087487B" w14:paraId="6B94F1B4" w14:textId="77777777" w:rsidTr="00F038A7">
        <w:trPr>
          <w:cnfStyle w:val="100000000000" w:firstRow="1" w:lastRow="0" w:firstColumn="0" w:lastColumn="0" w:oddVBand="0" w:evenVBand="0" w:oddHBand="0" w:evenHBand="0" w:firstRowFirstColumn="0" w:firstRowLastColumn="0" w:lastRowFirstColumn="0" w:lastRowLastColumn="0"/>
          <w:divId w:val="448665177"/>
        </w:trPr>
        <w:tc>
          <w:tcPr>
            <w:tcW w:w="1701" w:type="dxa"/>
            <w:hideMark/>
          </w:tcPr>
          <w:p w14:paraId="73318EE3" w14:textId="77777777" w:rsidR="00F038A7" w:rsidRPr="0087487B" w:rsidRDefault="00F038A7" w:rsidP="00314B37">
            <w:pPr>
              <w:pStyle w:val="NormalWeb"/>
              <w:jc w:val="left"/>
              <w:rPr>
                <w:sz w:val="18"/>
                <w:szCs w:val="18"/>
              </w:rPr>
            </w:pPr>
            <w:r w:rsidRPr="0087487B">
              <w:rPr>
                <w:sz w:val="18"/>
                <w:szCs w:val="18"/>
              </w:rPr>
              <w:t>Abbreviations</w:t>
            </w:r>
          </w:p>
        </w:tc>
        <w:tc>
          <w:tcPr>
            <w:tcW w:w="8739" w:type="dxa"/>
            <w:hideMark/>
          </w:tcPr>
          <w:p w14:paraId="4F438011" w14:textId="77777777" w:rsidR="00F038A7" w:rsidRPr="0087487B" w:rsidRDefault="00F038A7" w:rsidP="00314B37">
            <w:pPr>
              <w:pStyle w:val="NormalWeb"/>
              <w:jc w:val="left"/>
              <w:rPr>
                <w:sz w:val="18"/>
                <w:szCs w:val="18"/>
              </w:rPr>
            </w:pPr>
            <w:r w:rsidRPr="0087487B">
              <w:rPr>
                <w:sz w:val="18"/>
                <w:szCs w:val="18"/>
              </w:rPr>
              <w:t>Definition</w:t>
            </w:r>
          </w:p>
        </w:tc>
      </w:tr>
      <w:tr w:rsidR="00F038A7" w:rsidRPr="0087487B" w14:paraId="0B9B790E" w14:textId="77777777" w:rsidTr="00F038A7">
        <w:trPr>
          <w:divId w:val="448665177"/>
        </w:trPr>
        <w:tc>
          <w:tcPr>
            <w:tcW w:w="1701" w:type="dxa"/>
            <w:hideMark/>
          </w:tcPr>
          <w:p w14:paraId="4C0964F3" w14:textId="77777777" w:rsidR="00F038A7" w:rsidRPr="0087487B" w:rsidRDefault="00F038A7" w:rsidP="00314B37">
            <w:pPr>
              <w:pStyle w:val="NormalWeb"/>
              <w:jc w:val="left"/>
              <w:rPr>
                <w:sz w:val="18"/>
                <w:szCs w:val="18"/>
              </w:rPr>
            </w:pPr>
            <w:r w:rsidRPr="0087487B">
              <w:rPr>
                <w:sz w:val="18"/>
                <w:szCs w:val="18"/>
              </w:rPr>
              <w:t>ADR</w:t>
            </w:r>
          </w:p>
        </w:tc>
        <w:tc>
          <w:tcPr>
            <w:tcW w:w="8739" w:type="dxa"/>
            <w:hideMark/>
          </w:tcPr>
          <w:p w14:paraId="1F72A11C" w14:textId="77777777" w:rsidR="00F038A7" w:rsidRPr="0087487B" w:rsidRDefault="00F038A7" w:rsidP="00314B37">
            <w:pPr>
              <w:pStyle w:val="NormalWeb"/>
              <w:jc w:val="left"/>
              <w:rPr>
                <w:sz w:val="18"/>
                <w:szCs w:val="18"/>
              </w:rPr>
            </w:pPr>
            <w:r w:rsidRPr="0087487B">
              <w:rPr>
                <w:sz w:val="18"/>
                <w:szCs w:val="18"/>
              </w:rPr>
              <w:t>adverse drug reaction</w:t>
            </w:r>
          </w:p>
        </w:tc>
      </w:tr>
      <w:tr w:rsidR="00F038A7" w:rsidRPr="0087487B" w14:paraId="663B8578" w14:textId="77777777" w:rsidTr="00F038A7">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667FC54E" w14:textId="77777777" w:rsidR="00F038A7" w:rsidRPr="0087487B" w:rsidRDefault="00F038A7" w:rsidP="00314B37">
            <w:pPr>
              <w:pStyle w:val="NormalWeb"/>
              <w:jc w:val="left"/>
              <w:rPr>
                <w:sz w:val="18"/>
                <w:szCs w:val="18"/>
              </w:rPr>
            </w:pPr>
            <w:proofErr w:type="spellStart"/>
            <w:r w:rsidRPr="0087487B">
              <w:rPr>
                <w:sz w:val="18"/>
                <w:szCs w:val="18"/>
              </w:rPr>
              <w:t>BPaLM</w:t>
            </w:r>
            <w:proofErr w:type="spellEnd"/>
          </w:p>
        </w:tc>
        <w:tc>
          <w:tcPr>
            <w:tcW w:w="8739" w:type="dxa"/>
            <w:hideMark/>
          </w:tcPr>
          <w:p w14:paraId="4EC13C84" w14:textId="77777777" w:rsidR="00F038A7" w:rsidRPr="0087487B" w:rsidRDefault="00F038A7" w:rsidP="00314B37">
            <w:pPr>
              <w:pStyle w:val="NormalWeb"/>
              <w:jc w:val="left"/>
              <w:rPr>
                <w:sz w:val="18"/>
                <w:szCs w:val="18"/>
              </w:rPr>
            </w:pPr>
            <w:proofErr w:type="spellStart"/>
            <w:r w:rsidRPr="0087487B">
              <w:rPr>
                <w:sz w:val="18"/>
                <w:szCs w:val="18"/>
              </w:rPr>
              <w:t>bedaquiline</w:t>
            </w:r>
            <w:proofErr w:type="spellEnd"/>
            <w:r w:rsidRPr="0087487B">
              <w:rPr>
                <w:sz w:val="18"/>
                <w:szCs w:val="18"/>
              </w:rPr>
              <w:t xml:space="preserve">, </w:t>
            </w:r>
            <w:proofErr w:type="spellStart"/>
            <w:r w:rsidRPr="0087487B">
              <w:rPr>
                <w:sz w:val="18"/>
                <w:szCs w:val="18"/>
              </w:rPr>
              <w:t>pretomanid</w:t>
            </w:r>
            <w:proofErr w:type="spellEnd"/>
            <w:r w:rsidRPr="0087487B">
              <w:rPr>
                <w:sz w:val="18"/>
                <w:szCs w:val="18"/>
              </w:rPr>
              <w:t>, linezolid and moxifloxacin</w:t>
            </w:r>
          </w:p>
        </w:tc>
      </w:tr>
      <w:tr w:rsidR="00F038A7" w:rsidRPr="0087487B" w14:paraId="57A0F8A3" w14:textId="77777777" w:rsidTr="00F038A7">
        <w:trPr>
          <w:divId w:val="448665177"/>
        </w:trPr>
        <w:tc>
          <w:tcPr>
            <w:tcW w:w="1701" w:type="dxa"/>
            <w:hideMark/>
          </w:tcPr>
          <w:p w14:paraId="147C2D8E" w14:textId="77777777" w:rsidR="00F038A7" w:rsidRPr="0087487B" w:rsidRDefault="00F038A7" w:rsidP="00314B37">
            <w:pPr>
              <w:pStyle w:val="NormalWeb"/>
              <w:jc w:val="left"/>
              <w:rPr>
                <w:sz w:val="18"/>
                <w:szCs w:val="18"/>
              </w:rPr>
            </w:pPr>
            <w:proofErr w:type="spellStart"/>
            <w:r w:rsidRPr="0087487B">
              <w:rPr>
                <w:sz w:val="18"/>
                <w:szCs w:val="18"/>
              </w:rPr>
              <w:t>BPaL</w:t>
            </w:r>
            <w:proofErr w:type="spellEnd"/>
          </w:p>
        </w:tc>
        <w:tc>
          <w:tcPr>
            <w:tcW w:w="8739" w:type="dxa"/>
            <w:hideMark/>
          </w:tcPr>
          <w:p w14:paraId="7AEC55B5" w14:textId="77777777" w:rsidR="00F038A7" w:rsidRPr="0087487B" w:rsidRDefault="00F038A7" w:rsidP="00314B37">
            <w:pPr>
              <w:pStyle w:val="NormalWeb"/>
              <w:jc w:val="left"/>
              <w:rPr>
                <w:sz w:val="18"/>
                <w:szCs w:val="18"/>
              </w:rPr>
            </w:pPr>
            <w:proofErr w:type="spellStart"/>
            <w:r w:rsidRPr="0087487B">
              <w:rPr>
                <w:sz w:val="18"/>
                <w:szCs w:val="18"/>
              </w:rPr>
              <w:t>bedaquiline</w:t>
            </w:r>
            <w:proofErr w:type="spellEnd"/>
            <w:r w:rsidRPr="0087487B">
              <w:rPr>
                <w:sz w:val="18"/>
                <w:szCs w:val="18"/>
              </w:rPr>
              <w:t xml:space="preserve">, </w:t>
            </w:r>
            <w:proofErr w:type="spellStart"/>
            <w:r w:rsidRPr="0087487B">
              <w:rPr>
                <w:sz w:val="18"/>
                <w:szCs w:val="18"/>
              </w:rPr>
              <w:t>pretomanid</w:t>
            </w:r>
            <w:proofErr w:type="spellEnd"/>
            <w:r w:rsidRPr="0087487B">
              <w:rPr>
                <w:sz w:val="18"/>
                <w:szCs w:val="18"/>
              </w:rPr>
              <w:t xml:space="preserve"> and linezolid</w:t>
            </w:r>
          </w:p>
        </w:tc>
      </w:tr>
      <w:tr w:rsidR="00F038A7" w:rsidRPr="0087487B" w14:paraId="2CE9E1E1" w14:textId="77777777" w:rsidTr="00F038A7">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556F7708" w14:textId="77777777" w:rsidR="00F038A7" w:rsidRPr="0087487B" w:rsidRDefault="00F038A7" w:rsidP="00314B37">
            <w:pPr>
              <w:pStyle w:val="NormalWeb"/>
              <w:jc w:val="left"/>
              <w:rPr>
                <w:sz w:val="18"/>
                <w:szCs w:val="18"/>
              </w:rPr>
            </w:pPr>
            <w:r w:rsidRPr="0087487B">
              <w:rPr>
                <w:sz w:val="18"/>
                <w:szCs w:val="18"/>
              </w:rPr>
              <w:t>DOT</w:t>
            </w:r>
          </w:p>
        </w:tc>
        <w:tc>
          <w:tcPr>
            <w:tcW w:w="8739" w:type="dxa"/>
            <w:hideMark/>
          </w:tcPr>
          <w:p w14:paraId="30364460" w14:textId="77777777" w:rsidR="00F038A7" w:rsidRPr="0087487B" w:rsidRDefault="00F038A7" w:rsidP="00314B37">
            <w:pPr>
              <w:pStyle w:val="NormalWeb"/>
              <w:jc w:val="left"/>
              <w:rPr>
                <w:sz w:val="18"/>
                <w:szCs w:val="18"/>
              </w:rPr>
            </w:pPr>
            <w:r w:rsidRPr="0087487B">
              <w:rPr>
                <w:sz w:val="18"/>
                <w:szCs w:val="18"/>
              </w:rPr>
              <w:t xml:space="preserve">directly </w:t>
            </w:r>
            <w:proofErr w:type="gramStart"/>
            <w:r w:rsidRPr="0087487B">
              <w:rPr>
                <w:sz w:val="18"/>
                <w:szCs w:val="18"/>
              </w:rPr>
              <w:t>observed</w:t>
            </w:r>
            <w:proofErr w:type="gramEnd"/>
            <w:r w:rsidRPr="0087487B">
              <w:rPr>
                <w:sz w:val="18"/>
                <w:szCs w:val="18"/>
              </w:rPr>
              <w:t xml:space="preserve"> treatment</w:t>
            </w:r>
          </w:p>
        </w:tc>
      </w:tr>
      <w:tr w:rsidR="00F038A7" w:rsidRPr="0087487B" w14:paraId="689CDF06" w14:textId="77777777" w:rsidTr="00F038A7">
        <w:trPr>
          <w:divId w:val="448665177"/>
        </w:trPr>
        <w:tc>
          <w:tcPr>
            <w:tcW w:w="1701" w:type="dxa"/>
            <w:hideMark/>
          </w:tcPr>
          <w:p w14:paraId="238B47C3" w14:textId="77777777" w:rsidR="00F038A7" w:rsidRPr="0087487B" w:rsidRDefault="00F038A7" w:rsidP="00314B37">
            <w:pPr>
              <w:pStyle w:val="NormalWeb"/>
              <w:jc w:val="left"/>
              <w:rPr>
                <w:sz w:val="18"/>
                <w:szCs w:val="18"/>
              </w:rPr>
            </w:pPr>
            <w:r w:rsidRPr="0087487B">
              <w:rPr>
                <w:sz w:val="18"/>
                <w:szCs w:val="18"/>
              </w:rPr>
              <w:t>DR-TB</w:t>
            </w:r>
          </w:p>
        </w:tc>
        <w:tc>
          <w:tcPr>
            <w:tcW w:w="8739" w:type="dxa"/>
            <w:hideMark/>
          </w:tcPr>
          <w:p w14:paraId="314CC135" w14:textId="77777777" w:rsidR="00F038A7" w:rsidRPr="0087487B" w:rsidRDefault="00F038A7" w:rsidP="00314B37">
            <w:pPr>
              <w:pStyle w:val="NormalWeb"/>
              <w:jc w:val="left"/>
              <w:rPr>
                <w:sz w:val="18"/>
                <w:szCs w:val="18"/>
              </w:rPr>
            </w:pPr>
            <w:r w:rsidRPr="0087487B">
              <w:rPr>
                <w:sz w:val="18"/>
                <w:szCs w:val="18"/>
              </w:rPr>
              <w:t>drug-resistant tuberculosis</w:t>
            </w:r>
          </w:p>
        </w:tc>
      </w:tr>
      <w:tr w:rsidR="00F038A7" w:rsidRPr="0087487B" w14:paraId="53469B89" w14:textId="77777777" w:rsidTr="00F038A7">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6524E209" w14:textId="77777777" w:rsidR="00F038A7" w:rsidRPr="0087487B" w:rsidRDefault="00F038A7" w:rsidP="00314B37">
            <w:pPr>
              <w:pStyle w:val="NormalWeb"/>
              <w:jc w:val="left"/>
              <w:rPr>
                <w:sz w:val="18"/>
                <w:szCs w:val="18"/>
              </w:rPr>
            </w:pPr>
            <w:r w:rsidRPr="0087487B">
              <w:rPr>
                <w:sz w:val="18"/>
                <w:szCs w:val="18"/>
              </w:rPr>
              <w:t>DST</w:t>
            </w:r>
          </w:p>
        </w:tc>
        <w:tc>
          <w:tcPr>
            <w:tcW w:w="8739" w:type="dxa"/>
            <w:hideMark/>
          </w:tcPr>
          <w:p w14:paraId="530072F2" w14:textId="77777777" w:rsidR="00F038A7" w:rsidRPr="0087487B" w:rsidRDefault="00F038A7" w:rsidP="00314B37">
            <w:pPr>
              <w:pStyle w:val="NormalWeb"/>
              <w:jc w:val="left"/>
              <w:rPr>
                <w:sz w:val="18"/>
                <w:szCs w:val="18"/>
              </w:rPr>
            </w:pPr>
            <w:r w:rsidRPr="0087487B">
              <w:rPr>
                <w:sz w:val="18"/>
                <w:szCs w:val="18"/>
              </w:rPr>
              <w:t>drug susceptibility testing</w:t>
            </w:r>
          </w:p>
        </w:tc>
      </w:tr>
      <w:tr w:rsidR="00F038A7" w:rsidRPr="0087487B" w14:paraId="67625FE6" w14:textId="77777777" w:rsidTr="00F038A7">
        <w:trPr>
          <w:divId w:val="448665177"/>
        </w:trPr>
        <w:tc>
          <w:tcPr>
            <w:tcW w:w="1701" w:type="dxa"/>
            <w:hideMark/>
          </w:tcPr>
          <w:p w14:paraId="56C9A6A4" w14:textId="77777777" w:rsidR="00F038A7" w:rsidRPr="0087487B" w:rsidRDefault="00F038A7" w:rsidP="00314B37">
            <w:pPr>
              <w:pStyle w:val="NormalWeb"/>
              <w:jc w:val="left"/>
              <w:rPr>
                <w:sz w:val="18"/>
                <w:szCs w:val="18"/>
              </w:rPr>
            </w:pPr>
            <w:r w:rsidRPr="0087487B">
              <w:rPr>
                <w:sz w:val="18"/>
                <w:szCs w:val="18"/>
              </w:rPr>
              <w:t>Hr-TB</w:t>
            </w:r>
          </w:p>
        </w:tc>
        <w:tc>
          <w:tcPr>
            <w:tcW w:w="8739" w:type="dxa"/>
            <w:hideMark/>
          </w:tcPr>
          <w:p w14:paraId="110AD38C" w14:textId="77777777" w:rsidR="00F038A7" w:rsidRPr="0087487B" w:rsidRDefault="00F038A7" w:rsidP="00314B37">
            <w:pPr>
              <w:pStyle w:val="NormalWeb"/>
              <w:jc w:val="left"/>
              <w:rPr>
                <w:sz w:val="18"/>
                <w:szCs w:val="18"/>
              </w:rPr>
            </w:pPr>
            <w:r w:rsidRPr="0087487B">
              <w:rPr>
                <w:sz w:val="18"/>
                <w:szCs w:val="18"/>
              </w:rPr>
              <w:t>rifampicin-susceptible, isoniazid-resistant TB</w:t>
            </w:r>
          </w:p>
        </w:tc>
      </w:tr>
      <w:tr w:rsidR="00F038A7" w:rsidRPr="0087487B" w14:paraId="5CAE42DE" w14:textId="77777777" w:rsidTr="00F038A7">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4405E3AE" w14:textId="77777777" w:rsidR="00F038A7" w:rsidRPr="0087487B" w:rsidRDefault="00F038A7" w:rsidP="00314B37">
            <w:pPr>
              <w:pStyle w:val="NormalWeb"/>
              <w:jc w:val="left"/>
              <w:rPr>
                <w:sz w:val="18"/>
                <w:szCs w:val="18"/>
              </w:rPr>
            </w:pPr>
            <w:r w:rsidRPr="0087487B">
              <w:rPr>
                <w:sz w:val="18"/>
                <w:szCs w:val="18"/>
              </w:rPr>
              <w:t>MDR-TB</w:t>
            </w:r>
          </w:p>
        </w:tc>
        <w:tc>
          <w:tcPr>
            <w:tcW w:w="8739" w:type="dxa"/>
            <w:hideMark/>
          </w:tcPr>
          <w:p w14:paraId="30FC5DFB" w14:textId="77777777" w:rsidR="00F038A7" w:rsidRPr="0087487B" w:rsidRDefault="00F038A7" w:rsidP="00314B37">
            <w:pPr>
              <w:pStyle w:val="NormalWeb"/>
              <w:jc w:val="left"/>
              <w:rPr>
                <w:sz w:val="18"/>
                <w:szCs w:val="18"/>
              </w:rPr>
            </w:pPr>
            <w:r w:rsidRPr="0087487B">
              <w:rPr>
                <w:sz w:val="18"/>
                <w:szCs w:val="18"/>
              </w:rPr>
              <w:t>multidrug-resistant tuberculosis</w:t>
            </w:r>
          </w:p>
        </w:tc>
      </w:tr>
      <w:tr w:rsidR="00F038A7" w:rsidRPr="0087487B" w14:paraId="51DF136C" w14:textId="77777777" w:rsidTr="00F038A7">
        <w:trPr>
          <w:divId w:val="448665177"/>
        </w:trPr>
        <w:tc>
          <w:tcPr>
            <w:tcW w:w="1701" w:type="dxa"/>
            <w:hideMark/>
          </w:tcPr>
          <w:p w14:paraId="244832F0" w14:textId="77777777" w:rsidR="00F038A7" w:rsidRPr="0087487B" w:rsidRDefault="00F038A7" w:rsidP="00314B37">
            <w:pPr>
              <w:pStyle w:val="NormalWeb"/>
              <w:jc w:val="left"/>
              <w:rPr>
                <w:sz w:val="18"/>
                <w:szCs w:val="18"/>
              </w:rPr>
            </w:pPr>
            <w:r w:rsidRPr="0087487B">
              <w:rPr>
                <w:sz w:val="18"/>
                <w:szCs w:val="18"/>
              </w:rPr>
              <w:t>MDR/RR-TB</w:t>
            </w:r>
          </w:p>
        </w:tc>
        <w:tc>
          <w:tcPr>
            <w:tcW w:w="8739" w:type="dxa"/>
            <w:hideMark/>
          </w:tcPr>
          <w:p w14:paraId="00D6F76F" w14:textId="77777777" w:rsidR="00F038A7" w:rsidRPr="0087487B" w:rsidRDefault="00F038A7" w:rsidP="00314B37">
            <w:pPr>
              <w:pStyle w:val="NormalWeb"/>
              <w:jc w:val="left"/>
              <w:rPr>
                <w:sz w:val="18"/>
                <w:szCs w:val="18"/>
              </w:rPr>
            </w:pPr>
            <w:r w:rsidRPr="0087487B">
              <w:rPr>
                <w:sz w:val="18"/>
                <w:szCs w:val="18"/>
              </w:rPr>
              <w:t>multidrug- or rifampicin-resistant tuberculosis</w:t>
            </w:r>
          </w:p>
        </w:tc>
      </w:tr>
      <w:tr w:rsidR="00F038A7" w:rsidRPr="0087487B" w14:paraId="1EC67AFE" w14:textId="77777777" w:rsidTr="00F038A7">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75F8F59E" w14:textId="77777777" w:rsidR="00F038A7" w:rsidRPr="0087487B" w:rsidRDefault="00F038A7" w:rsidP="00314B37">
            <w:pPr>
              <w:pStyle w:val="NormalWeb"/>
              <w:jc w:val="left"/>
              <w:rPr>
                <w:sz w:val="18"/>
                <w:szCs w:val="18"/>
              </w:rPr>
            </w:pPr>
            <w:r w:rsidRPr="0087487B">
              <w:rPr>
                <w:sz w:val="18"/>
                <w:szCs w:val="18"/>
              </w:rPr>
              <w:t>MRLN</w:t>
            </w:r>
          </w:p>
        </w:tc>
        <w:tc>
          <w:tcPr>
            <w:tcW w:w="8739" w:type="dxa"/>
            <w:hideMark/>
          </w:tcPr>
          <w:p w14:paraId="6AF39C77" w14:textId="77777777" w:rsidR="00F038A7" w:rsidRPr="0087487B" w:rsidRDefault="00F038A7" w:rsidP="00314B37">
            <w:pPr>
              <w:pStyle w:val="NormalWeb"/>
              <w:jc w:val="left"/>
              <w:rPr>
                <w:sz w:val="18"/>
                <w:szCs w:val="18"/>
              </w:rPr>
            </w:pPr>
            <w:r w:rsidRPr="0087487B">
              <w:rPr>
                <w:sz w:val="18"/>
                <w:szCs w:val="18"/>
              </w:rPr>
              <w:t>Australia’s Mycobacterium Reference Laboratory Network</w:t>
            </w:r>
          </w:p>
        </w:tc>
      </w:tr>
      <w:tr w:rsidR="00F038A7" w:rsidRPr="0087487B" w14:paraId="3A4CF339" w14:textId="77777777" w:rsidTr="00F038A7">
        <w:trPr>
          <w:divId w:val="448665177"/>
        </w:trPr>
        <w:tc>
          <w:tcPr>
            <w:tcW w:w="1701" w:type="dxa"/>
            <w:hideMark/>
          </w:tcPr>
          <w:p w14:paraId="3F691C32" w14:textId="77777777" w:rsidR="00F038A7" w:rsidRPr="0087487B" w:rsidRDefault="00F038A7" w:rsidP="00314B37">
            <w:pPr>
              <w:pStyle w:val="NormalWeb"/>
              <w:jc w:val="left"/>
              <w:rPr>
                <w:sz w:val="18"/>
                <w:szCs w:val="18"/>
              </w:rPr>
            </w:pPr>
            <w:r w:rsidRPr="0087487B">
              <w:rPr>
                <w:sz w:val="18"/>
                <w:szCs w:val="18"/>
              </w:rPr>
              <w:t>MTBC</w:t>
            </w:r>
          </w:p>
        </w:tc>
        <w:tc>
          <w:tcPr>
            <w:tcW w:w="8739" w:type="dxa"/>
            <w:hideMark/>
          </w:tcPr>
          <w:p w14:paraId="3E6B6D4D" w14:textId="77777777" w:rsidR="00F038A7" w:rsidRPr="0087487B" w:rsidRDefault="00F038A7" w:rsidP="00314B37">
            <w:pPr>
              <w:pStyle w:val="NormalWeb"/>
              <w:jc w:val="left"/>
              <w:rPr>
                <w:sz w:val="18"/>
                <w:szCs w:val="18"/>
              </w:rPr>
            </w:pPr>
            <w:r w:rsidRPr="0087487B">
              <w:rPr>
                <w:sz w:val="18"/>
                <w:szCs w:val="18"/>
              </w:rPr>
              <w:t>Mycobacterium tuberculosis complex</w:t>
            </w:r>
          </w:p>
        </w:tc>
      </w:tr>
      <w:tr w:rsidR="00F038A7" w:rsidRPr="0087487B" w14:paraId="187891B6" w14:textId="77777777" w:rsidTr="00F038A7">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351B99CA" w14:textId="77777777" w:rsidR="00F038A7" w:rsidRPr="0087487B" w:rsidRDefault="00F038A7" w:rsidP="00314B37">
            <w:pPr>
              <w:pStyle w:val="NormalWeb"/>
              <w:jc w:val="left"/>
              <w:rPr>
                <w:sz w:val="18"/>
                <w:szCs w:val="18"/>
              </w:rPr>
            </w:pPr>
            <w:r w:rsidRPr="0087487B">
              <w:rPr>
                <w:sz w:val="18"/>
                <w:szCs w:val="18"/>
              </w:rPr>
              <w:t>NTAC</w:t>
            </w:r>
          </w:p>
        </w:tc>
        <w:tc>
          <w:tcPr>
            <w:tcW w:w="8739" w:type="dxa"/>
            <w:hideMark/>
          </w:tcPr>
          <w:p w14:paraId="7EE7AA2E" w14:textId="77777777" w:rsidR="00F038A7" w:rsidRPr="0087487B" w:rsidRDefault="00F038A7" w:rsidP="00314B37">
            <w:pPr>
              <w:pStyle w:val="NormalWeb"/>
              <w:jc w:val="left"/>
              <w:rPr>
                <w:sz w:val="18"/>
                <w:szCs w:val="18"/>
              </w:rPr>
            </w:pPr>
            <w:r w:rsidRPr="0087487B">
              <w:rPr>
                <w:sz w:val="18"/>
                <w:szCs w:val="18"/>
              </w:rPr>
              <w:t>Australia’s National Tuberculosis Advisory Committee</w:t>
            </w:r>
          </w:p>
        </w:tc>
      </w:tr>
      <w:tr w:rsidR="00F038A7" w:rsidRPr="0087487B" w14:paraId="7870A4C9" w14:textId="77777777" w:rsidTr="00F038A7">
        <w:trPr>
          <w:divId w:val="448665177"/>
        </w:trPr>
        <w:tc>
          <w:tcPr>
            <w:tcW w:w="1701" w:type="dxa"/>
            <w:hideMark/>
          </w:tcPr>
          <w:p w14:paraId="647AB547" w14:textId="77777777" w:rsidR="00F038A7" w:rsidRPr="0087487B" w:rsidRDefault="00F038A7" w:rsidP="00314B37">
            <w:pPr>
              <w:pStyle w:val="NormalWeb"/>
              <w:jc w:val="left"/>
              <w:rPr>
                <w:sz w:val="18"/>
                <w:szCs w:val="18"/>
              </w:rPr>
            </w:pPr>
            <w:r w:rsidRPr="0087487B">
              <w:rPr>
                <w:sz w:val="18"/>
                <w:szCs w:val="18"/>
              </w:rPr>
              <w:t xml:space="preserve">Pre XDR-TB </w:t>
            </w:r>
          </w:p>
        </w:tc>
        <w:tc>
          <w:tcPr>
            <w:tcW w:w="8739" w:type="dxa"/>
            <w:hideMark/>
          </w:tcPr>
          <w:p w14:paraId="52894D8B" w14:textId="77777777" w:rsidR="00F038A7" w:rsidRPr="0087487B" w:rsidRDefault="00F038A7" w:rsidP="00314B37">
            <w:pPr>
              <w:pStyle w:val="NormalWeb"/>
              <w:jc w:val="left"/>
              <w:rPr>
                <w:sz w:val="18"/>
                <w:szCs w:val="18"/>
              </w:rPr>
            </w:pPr>
            <w:r w:rsidRPr="0087487B">
              <w:rPr>
                <w:sz w:val="18"/>
                <w:szCs w:val="18"/>
              </w:rPr>
              <w:t>pre-extensively drug-resistant tuberculosis</w:t>
            </w:r>
          </w:p>
        </w:tc>
      </w:tr>
      <w:tr w:rsidR="00F038A7" w:rsidRPr="0087487B" w14:paraId="36DB0963" w14:textId="77777777" w:rsidTr="00F038A7">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146EA450" w14:textId="77777777" w:rsidR="00F038A7" w:rsidRPr="0087487B" w:rsidRDefault="00F038A7" w:rsidP="00314B37">
            <w:pPr>
              <w:pStyle w:val="NormalWeb"/>
              <w:jc w:val="left"/>
              <w:rPr>
                <w:sz w:val="18"/>
                <w:szCs w:val="18"/>
              </w:rPr>
            </w:pPr>
            <w:r w:rsidRPr="0087487B">
              <w:rPr>
                <w:sz w:val="18"/>
                <w:szCs w:val="18"/>
              </w:rPr>
              <w:t>RR-TB</w:t>
            </w:r>
          </w:p>
        </w:tc>
        <w:tc>
          <w:tcPr>
            <w:tcW w:w="8739" w:type="dxa"/>
            <w:hideMark/>
          </w:tcPr>
          <w:p w14:paraId="73A25D1D" w14:textId="77777777" w:rsidR="00F038A7" w:rsidRPr="0087487B" w:rsidRDefault="00F038A7" w:rsidP="00314B37">
            <w:pPr>
              <w:pStyle w:val="NormalWeb"/>
              <w:jc w:val="left"/>
              <w:rPr>
                <w:sz w:val="18"/>
                <w:szCs w:val="18"/>
              </w:rPr>
            </w:pPr>
            <w:r w:rsidRPr="0087487B">
              <w:rPr>
                <w:sz w:val="18"/>
                <w:szCs w:val="18"/>
              </w:rPr>
              <w:t>rifampicin-resistant tuberculosis</w:t>
            </w:r>
          </w:p>
        </w:tc>
      </w:tr>
      <w:tr w:rsidR="00F038A7" w:rsidRPr="0087487B" w14:paraId="72428E2C" w14:textId="77777777" w:rsidTr="00F038A7">
        <w:trPr>
          <w:divId w:val="448665177"/>
        </w:trPr>
        <w:tc>
          <w:tcPr>
            <w:tcW w:w="1701" w:type="dxa"/>
            <w:hideMark/>
          </w:tcPr>
          <w:p w14:paraId="0C03EB84" w14:textId="77777777" w:rsidR="00F038A7" w:rsidRPr="0087487B" w:rsidRDefault="00F038A7" w:rsidP="00314B37">
            <w:pPr>
              <w:pStyle w:val="NormalWeb"/>
              <w:jc w:val="left"/>
              <w:rPr>
                <w:sz w:val="18"/>
                <w:szCs w:val="18"/>
              </w:rPr>
            </w:pPr>
            <w:r w:rsidRPr="0087487B">
              <w:rPr>
                <w:sz w:val="18"/>
                <w:szCs w:val="18"/>
              </w:rPr>
              <w:t>SLD</w:t>
            </w:r>
          </w:p>
        </w:tc>
        <w:tc>
          <w:tcPr>
            <w:tcW w:w="8739" w:type="dxa"/>
            <w:hideMark/>
          </w:tcPr>
          <w:p w14:paraId="0D6EE48C" w14:textId="77777777" w:rsidR="00F038A7" w:rsidRPr="0087487B" w:rsidRDefault="00F038A7" w:rsidP="00314B37">
            <w:pPr>
              <w:pStyle w:val="NormalWeb"/>
              <w:jc w:val="left"/>
              <w:rPr>
                <w:sz w:val="18"/>
                <w:szCs w:val="18"/>
              </w:rPr>
            </w:pPr>
            <w:r w:rsidRPr="0087487B">
              <w:rPr>
                <w:sz w:val="18"/>
                <w:szCs w:val="18"/>
              </w:rPr>
              <w:t>second-line drug</w:t>
            </w:r>
          </w:p>
        </w:tc>
      </w:tr>
      <w:tr w:rsidR="00F038A7" w:rsidRPr="0087487B" w14:paraId="05487765" w14:textId="77777777" w:rsidTr="00F038A7">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7E551A7A" w14:textId="77777777" w:rsidR="00F038A7" w:rsidRPr="0087487B" w:rsidRDefault="00F038A7" w:rsidP="00314B37">
            <w:pPr>
              <w:pStyle w:val="NormalWeb"/>
              <w:jc w:val="left"/>
              <w:rPr>
                <w:sz w:val="18"/>
                <w:szCs w:val="18"/>
              </w:rPr>
            </w:pPr>
            <w:r w:rsidRPr="0087487B">
              <w:rPr>
                <w:sz w:val="18"/>
                <w:szCs w:val="18"/>
              </w:rPr>
              <w:t>TB</w:t>
            </w:r>
          </w:p>
        </w:tc>
        <w:tc>
          <w:tcPr>
            <w:tcW w:w="8739" w:type="dxa"/>
            <w:hideMark/>
          </w:tcPr>
          <w:p w14:paraId="21E5BB20" w14:textId="77777777" w:rsidR="00F038A7" w:rsidRPr="0087487B" w:rsidRDefault="00F038A7" w:rsidP="00314B37">
            <w:pPr>
              <w:pStyle w:val="NormalWeb"/>
              <w:jc w:val="left"/>
              <w:rPr>
                <w:sz w:val="18"/>
                <w:szCs w:val="18"/>
              </w:rPr>
            </w:pPr>
            <w:r w:rsidRPr="0087487B">
              <w:rPr>
                <w:sz w:val="18"/>
                <w:szCs w:val="18"/>
              </w:rPr>
              <w:t>tuberculosis</w:t>
            </w:r>
          </w:p>
        </w:tc>
      </w:tr>
      <w:tr w:rsidR="00F038A7" w:rsidRPr="0087487B" w14:paraId="17008B41" w14:textId="77777777" w:rsidTr="00F038A7">
        <w:trPr>
          <w:divId w:val="448665177"/>
        </w:trPr>
        <w:tc>
          <w:tcPr>
            <w:tcW w:w="1701" w:type="dxa"/>
            <w:hideMark/>
          </w:tcPr>
          <w:p w14:paraId="48191D15" w14:textId="77777777" w:rsidR="00F038A7" w:rsidRPr="0087487B" w:rsidRDefault="00F038A7" w:rsidP="00314B37">
            <w:pPr>
              <w:pStyle w:val="NormalWeb"/>
              <w:jc w:val="left"/>
              <w:rPr>
                <w:sz w:val="18"/>
                <w:szCs w:val="18"/>
              </w:rPr>
            </w:pPr>
            <w:r w:rsidRPr="0087487B">
              <w:rPr>
                <w:sz w:val="18"/>
                <w:szCs w:val="18"/>
              </w:rPr>
              <w:t>TDM</w:t>
            </w:r>
          </w:p>
        </w:tc>
        <w:tc>
          <w:tcPr>
            <w:tcW w:w="8739" w:type="dxa"/>
            <w:hideMark/>
          </w:tcPr>
          <w:p w14:paraId="067D7BBC" w14:textId="77777777" w:rsidR="00F038A7" w:rsidRPr="0087487B" w:rsidRDefault="00F038A7" w:rsidP="00314B37">
            <w:pPr>
              <w:pStyle w:val="NormalWeb"/>
              <w:jc w:val="left"/>
              <w:rPr>
                <w:sz w:val="18"/>
                <w:szCs w:val="18"/>
              </w:rPr>
            </w:pPr>
            <w:r w:rsidRPr="0087487B">
              <w:rPr>
                <w:sz w:val="18"/>
                <w:szCs w:val="18"/>
              </w:rPr>
              <w:t>therapeutic drug monitoring</w:t>
            </w:r>
          </w:p>
        </w:tc>
      </w:tr>
      <w:tr w:rsidR="00F038A7" w:rsidRPr="0087487B" w14:paraId="12E9FBF1" w14:textId="77777777" w:rsidTr="00F038A7">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0AEAF9AF" w14:textId="77777777" w:rsidR="00F038A7" w:rsidRPr="0087487B" w:rsidRDefault="00F038A7" w:rsidP="00314B37">
            <w:pPr>
              <w:pStyle w:val="NormalWeb"/>
              <w:jc w:val="left"/>
              <w:rPr>
                <w:sz w:val="18"/>
                <w:szCs w:val="18"/>
              </w:rPr>
            </w:pPr>
            <w:r w:rsidRPr="0087487B">
              <w:rPr>
                <w:sz w:val="18"/>
                <w:szCs w:val="18"/>
              </w:rPr>
              <w:t>WGS</w:t>
            </w:r>
          </w:p>
        </w:tc>
        <w:tc>
          <w:tcPr>
            <w:tcW w:w="8739" w:type="dxa"/>
            <w:hideMark/>
          </w:tcPr>
          <w:p w14:paraId="73796379" w14:textId="77777777" w:rsidR="00F038A7" w:rsidRPr="0087487B" w:rsidRDefault="00F038A7" w:rsidP="00314B37">
            <w:pPr>
              <w:pStyle w:val="NormalWeb"/>
              <w:jc w:val="left"/>
              <w:rPr>
                <w:sz w:val="18"/>
                <w:szCs w:val="18"/>
              </w:rPr>
            </w:pPr>
            <w:r w:rsidRPr="0087487B">
              <w:rPr>
                <w:sz w:val="18"/>
                <w:szCs w:val="18"/>
              </w:rPr>
              <w:t>whole genome sequencing</w:t>
            </w:r>
          </w:p>
        </w:tc>
      </w:tr>
      <w:tr w:rsidR="00F038A7" w:rsidRPr="0087487B" w14:paraId="2936FC37" w14:textId="77777777" w:rsidTr="00F038A7">
        <w:trPr>
          <w:divId w:val="448665177"/>
        </w:trPr>
        <w:tc>
          <w:tcPr>
            <w:tcW w:w="1701" w:type="dxa"/>
            <w:hideMark/>
          </w:tcPr>
          <w:p w14:paraId="3572FE14" w14:textId="77777777" w:rsidR="00F038A7" w:rsidRPr="0087487B" w:rsidRDefault="00F038A7" w:rsidP="00314B37">
            <w:pPr>
              <w:pStyle w:val="NormalWeb"/>
              <w:jc w:val="left"/>
              <w:rPr>
                <w:sz w:val="18"/>
                <w:szCs w:val="18"/>
              </w:rPr>
            </w:pPr>
            <w:r w:rsidRPr="0087487B">
              <w:rPr>
                <w:sz w:val="18"/>
                <w:szCs w:val="18"/>
              </w:rPr>
              <w:t>WHO</w:t>
            </w:r>
          </w:p>
        </w:tc>
        <w:tc>
          <w:tcPr>
            <w:tcW w:w="8739" w:type="dxa"/>
            <w:hideMark/>
          </w:tcPr>
          <w:p w14:paraId="178A2194" w14:textId="77777777" w:rsidR="00F038A7" w:rsidRPr="0087487B" w:rsidRDefault="00F038A7" w:rsidP="00314B37">
            <w:pPr>
              <w:pStyle w:val="NormalWeb"/>
              <w:jc w:val="left"/>
              <w:rPr>
                <w:sz w:val="18"/>
                <w:szCs w:val="18"/>
              </w:rPr>
            </w:pPr>
            <w:r w:rsidRPr="0087487B">
              <w:rPr>
                <w:sz w:val="18"/>
                <w:szCs w:val="18"/>
              </w:rPr>
              <w:t>World Health Organization</w:t>
            </w:r>
          </w:p>
        </w:tc>
      </w:tr>
      <w:tr w:rsidR="00F038A7" w:rsidRPr="0087487B" w14:paraId="3E3753EB" w14:textId="77777777" w:rsidTr="00F038A7">
        <w:trPr>
          <w:cnfStyle w:val="000000010000" w:firstRow="0" w:lastRow="0" w:firstColumn="0" w:lastColumn="0" w:oddVBand="0" w:evenVBand="0" w:oddHBand="0" w:evenHBand="1" w:firstRowFirstColumn="0" w:firstRowLastColumn="0" w:lastRowFirstColumn="0" w:lastRowLastColumn="0"/>
          <w:divId w:val="448665177"/>
        </w:trPr>
        <w:tc>
          <w:tcPr>
            <w:tcW w:w="1701" w:type="dxa"/>
            <w:hideMark/>
          </w:tcPr>
          <w:p w14:paraId="3D768E77" w14:textId="77777777" w:rsidR="00F038A7" w:rsidRPr="0087487B" w:rsidRDefault="00F038A7" w:rsidP="00314B37">
            <w:pPr>
              <w:pStyle w:val="NormalWeb"/>
              <w:jc w:val="left"/>
              <w:rPr>
                <w:sz w:val="18"/>
                <w:szCs w:val="18"/>
              </w:rPr>
            </w:pPr>
            <w:r w:rsidRPr="0087487B">
              <w:rPr>
                <w:sz w:val="18"/>
                <w:szCs w:val="18"/>
              </w:rPr>
              <w:t xml:space="preserve">XDR-TB </w:t>
            </w:r>
          </w:p>
        </w:tc>
        <w:tc>
          <w:tcPr>
            <w:tcW w:w="8739" w:type="dxa"/>
            <w:hideMark/>
          </w:tcPr>
          <w:p w14:paraId="084445D3" w14:textId="77777777" w:rsidR="00F038A7" w:rsidRPr="0087487B" w:rsidRDefault="00F038A7" w:rsidP="00314B37">
            <w:pPr>
              <w:pStyle w:val="NormalWeb"/>
              <w:jc w:val="left"/>
              <w:rPr>
                <w:sz w:val="18"/>
                <w:szCs w:val="18"/>
              </w:rPr>
            </w:pPr>
            <w:r w:rsidRPr="0087487B">
              <w:rPr>
                <w:sz w:val="18"/>
                <w:szCs w:val="18"/>
              </w:rPr>
              <w:t>extensively drug resistant tuberculosis</w:t>
            </w:r>
          </w:p>
        </w:tc>
      </w:tr>
    </w:tbl>
    <w:p w14:paraId="323665EF" w14:textId="17451F80" w:rsidR="00FC2C5B" w:rsidRPr="0087487B" w:rsidRDefault="00FC2C5B" w:rsidP="00976A24">
      <w:pPr>
        <w:divId w:val="448665177"/>
      </w:pPr>
    </w:p>
    <w:p w14:paraId="51D6231A" w14:textId="77777777" w:rsidR="00FC2C5B" w:rsidRPr="0087487B" w:rsidRDefault="00FC2C5B">
      <w:r w:rsidRPr="0087487B">
        <w:br w:type="page"/>
      </w:r>
    </w:p>
    <w:p w14:paraId="65BEDC57" w14:textId="77777777" w:rsidR="00F605B4" w:rsidRPr="0087487B" w:rsidRDefault="00F605B4" w:rsidP="00976A24">
      <w:pPr>
        <w:pStyle w:val="Heading1"/>
        <w:divId w:val="448665177"/>
      </w:pPr>
      <w:r w:rsidRPr="0087487B">
        <w:lastRenderedPageBreak/>
        <w:t xml:space="preserve">List of first- and second-line drug abbreviations </w:t>
      </w:r>
    </w:p>
    <w:tbl>
      <w:tblPr>
        <w:tblStyle w:val="CDI-StandardTable"/>
        <w:tblW w:w="0" w:type="auto"/>
        <w:tblCellMar>
          <w:top w:w="113" w:type="dxa"/>
          <w:bottom w:w="113" w:type="dxa"/>
        </w:tblCellMar>
        <w:tblLook w:val="04A0" w:firstRow="1" w:lastRow="0" w:firstColumn="1" w:lastColumn="0" w:noHBand="0" w:noVBand="1"/>
        <w:tblDescription w:val="A list of abbreviations used for the various first- and second-line antimicrobials referenced within this document."/>
      </w:tblPr>
      <w:tblGrid>
        <w:gridCol w:w="1985"/>
        <w:gridCol w:w="8455"/>
      </w:tblGrid>
      <w:tr w:rsidR="00FC2C5B" w:rsidRPr="0087487B" w14:paraId="64F76D68" w14:textId="77777777" w:rsidTr="00F24221">
        <w:trPr>
          <w:cnfStyle w:val="100000000000" w:firstRow="1" w:lastRow="0" w:firstColumn="0" w:lastColumn="0" w:oddVBand="0" w:evenVBand="0" w:oddHBand="0" w:evenHBand="0" w:firstRowFirstColumn="0" w:firstRowLastColumn="0" w:lastRowFirstColumn="0" w:lastRowLastColumn="0"/>
          <w:divId w:val="448665177"/>
        </w:trPr>
        <w:tc>
          <w:tcPr>
            <w:tcW w:w="1985" w:type="dxa"/>
            <w:hideMark/>
          </w:tcPr>
          <w:p w14:paraId="783A7BD1" w14:textId="77777777" w:rsidR="00FC2C5B" w:rsidRPr="0087487B" w:rsidRDefault="00FC2C5B" w:rsidP="00F24221">
            <w:pPr>
              <w:pStyle w:val="NormalWeb"/>
              <w:jc w:val="left"/>
              <w:rPr>
                <w:sz w:val="18"/>
                <w:szCs w:val="18"/>
              </w:rPr>
            </w:pPr>
            <w:r w:rsidRPr="0087487B">
              <w:rPr>
                <w:sz w:val="18"/>
                <w:szCs w:val="18"/>
              </w:rPr>
              <w:t>Abbreviations</w:t>
            </w:r>
          </w:p>
        </w:tc>
        <w:tc>
          <w:tcPr>
            <w:tcW w:w="8455" w:type="dxa"/>
            <w:hideMark/>
          </w:tcPr>
          <w:p w14:paraId="76ACF9C8" w14:textId="77777777" w:rsidR="00FC2C5B" w:rsidRPr="0087487B" w:rsidRDefault="00FC2C5B" w:rsidP="00F24221">
            <w:pPr>
              <w:pStyle w:val="NormalWeb"/>
              <w:jc w:val="left"/>
              <w:rPr>
                <w:sz w:val="18"/>
                <w:szCs w:val="18"/>
              </w:rPr>
            </w:pPr>
            <w:r w:rsidRPr="0087487B">
              <w:rPr>
                <w:sz w:val="18"/>
                <w:szCs w:val="18"/>
              </w:rPr>
              <w:t>Definition</w:t>
            </w:r>
          </w:p>
        </w:tc>
      </w:tr>
      <w:tr w:rsidR="00FC2C5B" w:rsidRPr="0087487B" w14:paraId="53A6C993" w14:textId="77777777" w:rsidTr="00F24221">
        <w:trPr>
          <w:divId w:val="448665177"/>
        </w:trPr>
        <w:tc>
          <w:tcPr>
            <w:tcW w:w="1985" w:type="dxa"/>
            <w:hideMark/>
          </w:tcPr>
          <w:p w14:paraId="032D2373" w14:textId="77777777" w:rsidR="00FC2C5B" w:rsidRPr="0087487B" w:rsidRDefault="00FC2C5B" w:rsidP="00F24221">
            <w:pPr>
              <w:pStyle w:val="NormalWeb"/>
              <w:jc w:val="left"/>
              <w:rPr>
                <w:sz w:val="18"/>
                <w:szCs w:val="18"/>
              </w:rPr>
            </w:pPr>
            <w:proofErr w:type="spellStart"/>
            <w:r w:rsidRPr="0087487B">
              <w:rPr>
                <w:sz w:val="18"/>
                <w:szCs w:val="18"/>
              </w:rPr>
              <w:t>Amk</w:t>
            </w:r>
            <w:proofErr w:type="spellEnd"/>
          </w:p>
        </w:tc>
        <w:tc>
          <w:tcPr>
            <w:tcW w:w="8455" w:type="dxa"/>
            <w:hideMark/>
          </w:tcPr>
          <w:p w14:paraId="75B59F22" w14:textId="77777777" w:rsidR="00FC2C5B" w:rsidRPr="0087487B" w:rsidRDefault="00FC2C5B" w:rsidP="00F24221">
            <w:pPr>
              <w:pStyle w:val="NormalWeb"/>
              <w:jc w:val="left"/>
              <w:rPr>
                <w:sz w:val="18"/>
                <w:szCs w:val="18"/>
              </w:rPr>
            </w:pPr>
            <w:r w:rsidRPr="0087487B">
              <w:rPr>
                <w:sz w:val="18"/>
                <w:szCs w:val="18"/>
              </w:rPr>
              <w:t>amikacin</w:t>
            </w:r>
          </w:p>
        </w:tc>
      </w:tr>
      <w:tr w:rsidR="00FC2C5B" w:rsidRPr="0087487B" w14:paraId="18E64125" w14:textId="77777777" w:rsidTr="00F24221">
        <w:trPr>
          <w:cnfStyle w:val="000000010000" w:firstRow="0" w:lastRow="0" w:firstColumn="0" w:lastColumn="0" w:oddVBand="0" w:evenVBand="0" w:oddHBand="0" w:evenHBand="1" w:firstRowFirstColumn="0" w:firstRowLastColumn="0" w:lastRowFirstColumn="0" w:lastRowLastColumn="0"/>
          <w:divId w:val="448665177"/>
        </w:trPr>
        <w:tc>
          <w:tcPr>
            <w:tcW w:w="1985" w:type="dxa"/>
            <w:hideMark/>
          </w:tcPr>
          <w:p w14:paraId="408FDE4D" w14:textId="77777777" w:rsidR="00FC2C5B" w:rsidRPr="0087487B" w:rsidRDefault="00FC2C5B" w:rsidP="00F24221">
            <w:pPr>
              <w:pStyle w:val="NormalWeb"/>
              <w:jc w:val="left"/>
              <w:rPr>
                <w:sz w:val="18"/>
                <w:szCs w:val="18"/>
              </w:rPr>
            </w:pPr>
            <w:proofErr w:type="spellStart"/>
            <w:r w:rsidRPr="0087487B">
              <w:rPr>
                <w:sz w:val="18"/>
                <w:szCs w:val="18"/>
              </w:rPr>
              <w:t>Bdq</w:t>
            </w:r>
            <w:proofErr w:type="spellEnd"/>
          </w:p>
        </w:tc>
        <w:tc>
          <w:tcPr>
            <w:tcW w:w="8455" w:type="dxa"/>
            <w:hideMark/>
          </w:tcPr>
          <w:p w14:paraId="6A4FF7E7" w14:textId="77777777" w:rsidR="00FC2C5B" w:rsidRPr="0087487B" w:rsidRDefault="00FC2C5B" w:rsidP="00F24221">
            <w:pPr>
              <w:pStyle w:val="NormalWeb"/>
              <w:jc w:val="left"/>
              <w:rPr>
                <w:sz w:val="18"/>
                <w:szCs w:val="18"/>
              </w:rPr>
            </w:pPr>
            <w:proofErr w:type="spellStart"/>
            <w:r w:rsidRPr="0087487B">
              <w:rPr>
                <w:sz w:val="18"/>
                <w:szCs w:val="18"/>
              </w:rPr>
              <w:t>bedaquiline</w:t>
            </w:r>
            <w:proofErr w:type="spellEnd"/>
          </w:p>
        </w:tc>
      </w:tr>
      <w:tr w:rsidR="00FC2C5B" w:rsidRPr="0087487B" w14:paraId="1175F053" w14:textId="77777777" w:rsidTr="00F24221">
        <w:trPr>
          <w:divId w:val="448665177"/>
        </w:trPr>
        <w:tc>
          <w:tcPr>
            <w:tcW w:w="1985" w:type="dxa"/>
            <w:hideMark/>
          </w:tcPr>
          <w:p w14:paraId="545DF551" w14:textId="77777777" w:rsidR="00FC2C5B" w:rsidRPr="0087487B" w:rsidRDefault="00FC2C5B" w:rsidP="00F24221">
            <w:pPr>
              <w:pStyle w:val="NormalWeb"/>
              <w:jc w:val="left"/>
              <w:rPr>
                <w:sz w:val="18"/>
                <w:szCs w:val="18"/>
              </w:rPr>
            </w:pPr>
            <w:proofErr w:type="spellStart"/>
            <w:r w:rsidRPr="0087487B">
              <w:rPr>
                <w:sz w:val="18"/>
                <w:szCs w:val="18"/>
              </w:rPr>
              <w:t>Cfz</w:t>
            </w:r>
            <w:proofErr w:type="spellEnd"/>
          </w:p>
        </w:tc>
        <w:tc>
          <w:tcPr>
            <w:tcW w:w="8455" w:type="dxa"/>
            <w:hideMark/>
          </w:tcPr>
          <w:p w14:paraId="33990C34" w14:textId="77777777" w:rsidR="00FC2C5B" w:rsidRPr="0087487B" w:rsidRDefault="00FC2C5B" w:rsidP="00F24221">
            <w:pPr>
              <w:pStyle w:val="NormalWeb"/>
              <w:jc w:val="left"/>
              <w:rPr>
                <w:sz w:val="18"/>
                <w:szCs w:val="18"/>
              </w:rPr>
            </w:pPr>
            <w:r w:rsidRPr="0087487B">
              <w:rPr>
                <w:sz w:val="18"/>
                <w:szCs w:val="18"/>
              </w:rPr>
              <w:t>clofazimine</w:t>
            </w:r>
          </w:p>
        </w:tc>
      </w:tr>
      <w:tr w:rsidR="00FC2C5B" w:rsidRPr="0087487B" w14:paraId="69E5BAFF" w14:textId="77777777" w:rsidTr="00F24221">
        <w:trPr>
          <w:cnfStyle w:val="000000010000" w:firstRow="0" w:lastRow="0" w:firstColumn="0" w:lastColumn="0" w:oddVBand="0" w:evenVBand="0" w:oddHBand="0" w:evenHBand="1" w:firstRowFirstColumn="0" w:firstRowLastColumn="0" w:lastRowFirstColumn="0" w:lastRowLastColumn="0"/>
          <w:divId w:val="448665177"/>
        </w:trPr>
        <w:tc>
          <w:tcPr>
            <w:tcW w:w="1985" w:type="dxa"/>
            <w:hideMark/>
          </w:tcPr>
          <w:p w14:paraId="749153ED" w14:textId="77777777" w:rsidR="00FC2C5B" w:rsidRPr="0087487B" w:rsidRDefault="00FC2C5B" w:rsidP="00F24221">
            <w:pPr>
              <w:pStyle w:val="NormalWeb"/>
              <w:jc w:val="left"/>
              <w:rPr>
                <w:sz w:val="18"/>
                <w:szCs w:val="18"/>
              </w:rPr>
            </w:pPr>
            <w:r w:rsidRPr="0087487B">
              <w:rPr>
                <w:sz w:val="18"/>
                <w:szCs w:val="18"/>
              </w:rPr>
              <w:t>Cs</w:t>
            </w:r>
          </w:p>
        </w:tc>
        <w:tc>
          <w:tcPr>
            <w:tcW w:w="8455" w:type="dxa"/>
            <w:hideMark/>
          </w:tcPr>
          <w:p w14:paraId="064D98A6" w14:textId="77777777" w:rsidR="00FC2C5B" w:rsidRPr="0087487B" w:rsidRDefault="00FC2C5B" w:rsidP="00F24221">
            <w:pPr>
              <w:pStyle w:val="NormalWeb"/>
              <w:jc w:val="left"/>
              <w:rPr>
                <w:sz w:val="18"/>
                <w:szCs w:val="18"/>
              </w:rPr>
            </w:pPr>
            <w:proofErr w:type="spellStart"/>
            <w:r w:rsidRPr="0087487B">
              <w:rPr>
                <w:sz w:val="18"/>
                <w:szCs w:val="18"/>
              </w:rPr>
              <w:t>cycloserine</w:t>
            </w:r>
            <w:proofErr w:type="spellEnd"/>
          </w:p>
        </w:tc>
      </w:tr>
      <w:tr w:rsidR="00FC2C5B" w:rsidRPr="0087487B" w14:paraId="61F04916" w14:textId="77777777" w:rsidTr="00F24221">
        <w:trPr>
          <w:divId w:val="448665177"/>
        </w:trPr>
        <w:tc>
          <w:tcPr>
            <w:tcW w:w="1985" w:type="dxa"/>
            <w:hideMark/>
          </w:tcPr>
          <w:p w14:paraId="2D43A64C" w14:textId="77777777" w:rsidR="00FC2C5B" w:rsidRPr="0087487B" w:rsidRDefault="00FC2C5B" w:rsidP="00F24221">
            <w:pPr>
              <w:pStyle w:val="NormalWeb"/>
              <w:jc w:val="left"/>
              <w:rPr>
                <w:sz w:val="18"/>
                <w:szCs w:val="18"/>
              </w:rPr>
            </w:pPr>
            <w:proofErr w:type="spellStart"/>
            <w:r w:rsidRPr="0087487B">
              <w:rPr>
                <w:sz w:val="18"/>
                <w:szCs w:val="18"/>
              </w:rPr>
              <w:t>Dlm</w:t>
            </w:r>
            <w:proofErr w:type="spellEnd"/>
          </w:p>
        </w:tc>
        <w:tc>
          <w:tcPr>
            <w:tcW w:w="8455" w:type="dxa"/>
            <w:hideMark/>
          </w:tcPr>
          <w:p w14:paraId="174F8D66" w14:textId="77777777" w:rsidR="00FC2C5B" w:rsidRPr="0087487B" w:rsidRDefault="00FC2C5B" w:rsidP="00F24221">
            <w:pPr>
              <w:pStyle w:val="NormalWeb"/>
              <w:jc w:val="left"/>
              <w:rPr>
                <w:sz w:val="18"/>
                <w:szCs w:val="18"/>
              </w:rPr>
            </w:pPr>
            <w:proofErr w:type="spellStart"/>
            <w:r w:rsidRPr="0087487B">
              <w:rPr>
                <w:sz w:val="18"/>
                <w:szCs w:val="18"/>
              </w:rPr>
              <w:t>delamanid</w:t>
            </w:r>
            <w:proofErr w:type="spellEnd"/>
          </w:p>
        </w:tc>
      </w:tr>
      <w:tr w:rsidR="00FC2C5B" w:rsidRPr="0087487B" w14:paraId="45964C2E" w14:textId="77777777" w:rsidTr="00F24221">
        <w:trPr>
          <w:cnfStyle w:val="000000010000" w:firstRow="0" w:lastRow="0" w:firstColumn="0" w:lastColumn="0" w:oddVBand="0" w:evenVBand="0" w:oddHBand="0" w:evenHBand="1" w:firstRowFirstColumn="0" w:firstRowLastColumn="0" w:lastRowFirstColumn="0" w:lastRowLastColumn="0"/>
          <w:divId w:val="448665177"/>
        </w:trPr>
        <w:tc>
          <w:tcPr>
            <w:tcW w:w="1985" w:type="dxa"/>
            <w:hideMark/>
          </w:tcPr>
          <w:p w14:paraId="5A30B253" w14:textId="77777777" w:rsidR="00FC2C5B" w:rsidRPr="0087487B" w:rsidRDefault="00FC2C5B" w:rsidP="00F24221">
            <w:pPr>
              <w:pStyle w:val="NormalWeb"/>
              <w:jc w:val="left"/>
              <w:rPr>
                <w:sz w:val="18"/>
                <w:szCs w:val="18"/>
              </w:rPr>
            </w:pPr>
            <w:r w:rsidRPr="0087487B">
              <w:rPr>
                <w:sz w:val="18"/>
                <w:szCs w:val="18"/>
              </w:rPr>
              <w:t xml:space="preserve">E </w:t>
            </w:r>
          </w:p>
        </w:tc>
        <w:tc>
          <w:tcPr>
            <w:tcW w:w="8455" w:type="dxa"/>
            <w:hideMark/>
          </w:tcPr>
          <w:p w14:paraId="1935F21F" w14:textId="77777777" w:rsidR="00FC2C5B" w:rsidRPr="0087487B" w:rsidRDefault="00FC2C5B" w:rsidP="00F24221">
            <w:pPr>
              <w:pStyle w:val="NormalWeb"/>
              <w:jc w:val="left"/>
              <w:rPr>
                <w:sz w:val="18"/>
                <w:szCs w:val="18"/>
              </w:rPr>
            </w:pPr>
            <w:r w:rsidRPr="0087487B">
              <w:rPr>
                <w:sz w:val="18"/>
                <w:szCs w:val="18"/>
              </w:rPr>
              <w:t>ethambutol</w:t>
            </w:r>
          </w:p>
        </w:tc>
      </w:tr>
      <w:tr w:rsidR="00FC2C5B" w:rsidRPr="0087487B" w14:paraId="1396AAD8" w14:textId="77777777" w:rsidTr="00F24221">
        <w:trPr>
          <w:divId w:val="448665177"/>
        </w:trPr>
        <w:tc>
          <w:tcPr>
            <w:tcW w:w="1985" w:type="dxa"/>
            <w:hideMark/>
          </w:tcPr>
          <w:p w14:paraId="31F54E0A" w14:textId="77777777" w:rsidR="00FC2C5B" w:rsidRPr="0087487B" w:rsidRDefault="00FC2C5B" w:rsidP="00F24221">
            <w:pPr>
              <w:pStyle w:val="NormalWeb"/>
              <w:jc w:val="left"/>
              <w:rPr>
                <w:sz w:val="18"/>
                <w:szCs w:val="18"/>
              </w:rPr>
            </w:pPr>
            <w:proofErr w:type="spellStart"/>
            <w:r w:rsidRPr="0087487B">
              <w:rPr>
                <w:sz w:val="18"/>
                <w:szCs w:val="18"/>
              </w:rPr>
              <w:t>Eto</w:t>
            </w:r>
            <w:proofErr w:type="spellEnd"/>
          </w:p>
        </w:tc>
        <w:tc>
          <w:tcPr>
            <w:tcW w:w="8455" w:type="dxa"/>
            <w:hideMark/>
          </w:tcPr>
          <w:p w14:paraId="2ABF9A7E" w14:textId="77777777" w:rsidR="00FC2C5B" w:rsidRPr="0087487B" w:rsidRDefault="00FC2C5B" w:rsidP="00F24221">
            <w:pPr>
              <w:pStyle w:val="NormalWeb"/>
              <w:jc w:val="left"/>
              <w:rPr>
                <w:sz w:val="18"/>
                <w:szCs w:val="18"/>
              </w:rPr>
            </w:pPr>
            <w:r w:rsidRPr="0087487B">
              <w:rPr>
                <w:sz w:val="18"/>
                <w:szCs w:val="18"/>
              </w:rPr>
              <w:t>ethionamide</w:t>
            </w:r>
          </w:p>
        </w:tc>
      </w:tr>
      <w:tr w:rsidR="00FC2C5B" w:rsidRPr="0087487B" w14:paraId="6A20B029" w14:textId="77777777" w:rsidTr="00F24221">
        <w:trPr>
          <w:cnfStyle w:val="000000010000" w:firstRow="0" w:lastRow="0" w:firstColumn="0" w:lastColumn="0" w:oddVBand="0" w:evenVBand="0" w:oddHBand="0" w:evenHBand="1" w:firstRowFirstColumn="0" w:firstRowLastColumn="0" w:lastRowFirstColumn="0" w:lastRowLastColumn="0"/>
          <w:divId w:val="448665177"/>
        </w:trPr>
        <w:tc>
          <w:tcPr>
            <w:tcW w:w="1985" w:type="dxa"/>
            <w:hideMark/>
          </w:tcPr>
          <w:p w14:paraId="1624D67F" w14:textId="77777777" w:rsidR="00FC2C5B" w:rsidRPr="0087487B" w:rsidRDefault="00FC2C5B" w:rsidP="00F24221">
            <w:pPr>
              <w:pStyle w:val="NormalWeb"/>
              <w:jc w:val="left"/>
              <w:rPr>
                <w:sz w:val="18"/>
                <w:szCs w:val="18"/>
              </w:rPr>
            </w:pPr>
            <w:r w:rsidRPr="0087487B">
              <w:rPr>
                <w:sz w:val="18"/>
                <w:szCs w:val="18"/>
              </w:rPr>
              <w:t xml:space="preserve">H </w:t>
            </w:r>
          </w:p>
        </w:tc>
        <w:tc>
          <w:tcPr>
            <w:tcW w:w="8455" w:type="dxa"/>
            <w:hideMark/>
          </w:tcPr>
          <w:p w14:paraId="1E457831" w14:textId="77777777" w:rsidR="00FC2C5B" w:rsidRPr="0087487B" w:rsidRDefault="00FC2C5B" w:rsidP="00F24221">
            <w:pPr>
              <w:pStyle w:val="NormalWeb"/>
              <w:jc w:val="left"/>
              <w:rPr>
                <w:sz w:val="18"/>
                <w:szCs w:val="18"/>
              </w:rPr>
            </w:pPr>
            <w:r w:rsidRPr="0087487B">
              <w:rPr>
                <w:sz w:val="18"/>
                <w:szCs w:val="18"/>
              </w:rPr>
              <w:t>isoniazid</w:t>
            </w:r>
          </w:p>
        </w:tc>
      </w:tr>
      <w:tr w:rsidR="00FC2C5B" w:rsidRPr="0087487B" w14:paraId="072AC6DE" w14:textId="77777777" w:rsidTr="00F24221">
        <w:trPr>
          <w:divId w:val="448665177"/>
        </w:trPr>
        <w:tc>
          <w:tcPr>
            <w:tcW w:w="1985" w:type="dxa"/>
            <w:hideMark/>
          </w:tcPr>
          <w:p w14:paraId="0313163A" w14:textId="77777777" w:rsidR="00FC2C5B" w:rsidRPr="0087487B" w:rsidRDefault="00FC2C5B" w:rsidP="00F24221">
            <w:pPr>
              <w:pStyle w:val="NormalWeb"/>
              <w:jc w:val="left"/>
              <w:rPr>
                <w:sz w:val="18"/>
                <w:szCs w:val="18"/>
              </w:rPr>
            </w:pPr>
            <w:proofErr w:type="spellStart"/>
            <w:r w:rsidRPr="0087487B">
              <w:rPr>
                <w:sz w:val="18"/>
                <w:szCs w:val="18"/>
              </w:rPr>
              <w:t>Hh</w:t>
            </w:r>
            <w:proofErr w:type="spellEnd"/>
          </w:p>
        </w:tc>
        <w:tc>
          <w:tcPr>
            <w:tcW w:w="8455" w:type="dxa"/>
            <w:hideMark/>
          </w:tcPr>
          <w:p w14:paraId="0E484FD1" w14:textId="77777777" w:rsidR="00FC2C5B" w:rsidRPr="0087487B" w:rsidRDefault="00FC2C5B" w:rsidP="00F24221">
            <w:pPr>
              <w:pStyle w:val="NormalWeb"/>
              <w:jc w:val="left"/>
              <w:rPr>
                <w:sz w:val="18"/>
                <w:szCs w:val="18"/>
              </w:rPr>
            </w:pPr>
            <w:r w:rsidRPr="0087487B">
              <w:rPr>
                <w:sz w:val="18"/>
                <w:szCs w:val="18"/>
              </w:rPr>
              <w:t>high dose isoniazid</w:t>
            </w:r>
          </w:p>
        </w:tc>
      </w:tr>
      <w:tr w:rsidR="00FC2C5B" w:rsidRPr="0087487B" w14:paraId="65F1C12D" w14:textId="77777777" w:rsidTr="00F24221">
        <w:trPr>
          <w:cnfStyle w:val="000000010000" w:firstRow="0" w:lastRow="0" w:firstColumn="0" w:lastColumn="0" w:oddVBand="0" w:evenVBand="0" w:oddHBand="0" w:evenHBand="1" w:firstRowFirstColumn="0" w:firstRowLastColumn="0" w:lastRowFirstColumn="0" w:lastRowLastColumn="0"/>
          <w:divId w:val="448665177"/>
        </w:trPr>
        <w:tc>
          <w:tcPr>
            <w:tcW w:w="1985" w:type="dxa"/>
            <w:hideMark/>
          </w:tcPr>
          <w:p w14:paraId="0F1BF723" w14:textId="77777777" w:rsidR="00FC2C5B" w:rsidRPr="0087487B" w:rsidRDefault="00FC2C5B" w:rsidP="00F24221">
            <w:pPr>
              <w:pStyle w:val="NormalWeb"/>
              <w:jc w:val="left"/>
              <w:rPr>
                <w:sz w:val="18"/>
                <w:szCs w:val="18"/>
              </w:rPr>
            </w:pPr>
            <w:proofErr w:type="spellStart"/>
            <w:r w:rsidRPr="0087487B">
              <w:rPr>
                <w:sz w:val="18"/>
                <w:szCs w:val="18"/>
              </w:rPr>
              <w:t>Ipm-Cln</w:t>
            </w:r>
            <w:proofErr w:type="spellEnd"/>
          </w:p>
        </w:tc>
        <w:tc>
          <w:tcPr>
            <w:tcW w:w="8455" w:type="dxa"/>
            <w:hideMark/>
          </w:tcPr>
          <w:p w14:paraId="3EE4ADF1" w14:textId="77777777" w:rsidR="00FC2C5B" w:rsidRPr="0087487B" w:rsidRDefault="00FC2C5B" w:rsidP="00F24221">
            <w:pPr>
              <w:pStyle w:val="NormalWeb"/>
              <w:jc w:val="left"/>
              <w:rPr>
                <w:sz w:val="18"/>
                <w:szCs w:val="18"/>
              </w:rPr>
            </w:pPr>
            <w:r w:rsidRPr="0087487B">
              <w:rPr>
                <w:sz w:val="18"/>
                <w:szCs w:val="18"/>
              </w:rPr>
              <w:t>imipenem-</w:t>
            </w:r>
            <w:proofErr w:type="spellStart"/>
            <w:r w:rsidRPr="0087487B">
              <w:rPr>
                <w:sz w:val="18"/>
                <w:szCs w:val="18"/>
              </w:rPr>
              <w:t>cilastatin</w:t>
            </w:r>
            <w:proofErr w:type="spellEnd"/>
          </w:p>
        </w:tc>
      </w:tr>
      <w:tr w:rsidR="00FC2C5B" w:rsidRPr="0087487B" w14:paraId="139CD465" w14:textId="77777777" w:rsidTr="00F24221">
        <w:trPr>
          <w:divId w:val="448665177"/>
        </w:trPr>
        <w:tc>
          <w:tcPr>
            <w:tcW w:w="1985" w:type="dxa"/>
            <w:hideMark/>
          </w:tcPr>
          <w:p w14:paraId="068CD842" w14:textId="77777777" w:rsidR="00FC2C5B" w:rsidRPr="0087487B" w:rsidRDefault="00FC2C5B" w:rsidP="00F24221">
            <w:pPr>
              <w:pStyle w:val="NormalWeb"/>
              <w:jc w:val="left"/>
              <w:rPr>
                <w:sz w:val="18"/>
                <w:szCs w:val="18"/>
              </w:rPr>
            </w:pPr>
            <w:proofErr w:type="spellStart"/>
            <w:r w:rsidRPr="0087487B">
              <w:rPr>
                <w:sz w:val="18"/>
                <w:szCs w:val="18"/>
              </w:rPr>
              <w:t>Lfx</w:t>
            </w:r>
            <w:proofErr w:type="spellEnd"/>
          </w:p>
        </w:tc>
        <w:tc>
          <w:tcPr>
            <w:tcW w:w="8455" w:type="dxa"/>
            <w:hideMark/>
          </w:tcPr>
          <w:p w14:paraId="64510795" w14:textId="77777777" w:rsidR="00FC2C5B" w:rsidRPr="0087487B" w:rsidRDefault="00FC2C5B" w:rsidP="00F24221">
            <w:pPr>
              <w:pStyle w:val="NormalWeb"/>
              <w:jc w:val="left"/>
              <w:rPr>
                <w:sz w:val="18"/>
                <w:szCs w:val="18"/>
              </w:rPr>
            </w:pPr>
            <w:r w:rsidRPr="0087487B">
              <w:rPr>
                <w:sz w:val="18"/>
                <w:szCs w:val="18"/>
              </w:rPr>
              <w:t>levofloxacin</w:t>
            </w:r>
          </w:p>
        </w:tc>
      </w:tr>
      <w:tr w:rsidR="00FC2C5B" w:rsidRPr="0087487B" w14:paraId="744142A8" w14:textId="77777777" w:rsidTr="00F24221">
        <w:trPr>
          <w:cnfStyle w:val="000000010000" w:firstRow="0" w:lastRow="0" w:firstColumn="0" w:lastColumn="0" w:oddVBand="0" w:evenVBand="0" w:oddHBand="0" w:evenHBand="1" w:firstRowFirstColumn="0" w:firstRowLastColumn="0" w:lastRowFirstColumn="0" w:lastRowLastColumn="0"/>
          <w:divId w:val="448665177"/>
        </w:trPr>
        <w:tc>
          <w:tcPr>
            <w:tcW w:w="1985" w:type="dxa"/>
            <w:hideMark/>
          </w:tcPr>
          <w:p w14:paraId="028CE470" w14:textId="77777777" w:rsidR="00FC2C5B" w:rsidRPr="0087487B" w:rsidRDefault="00FC2C5B" w:rsidP="00F24221">
            <w:pPr>
              <w:pStyle w:val="NormalWeb"/>
              <w:jc w:val="left"/>
              <w:rPr>
                <w:sz w:val="18"/>
                <w:szCs w:val="18"/>
              </w:rPr>
            </w:pPr>
            <w:proofErr w:type="spellStart"/>
            <w:r w:rsidRPr="0087487B">
              <w:rPr>
                <w:sz w:val="18"/>
                <w:szCs w:val="18"/>
              </w:rPr>
              <w:t>Lzd</w:t>
            </w:r>
            <w:proofErr w:type="spellEnd"/>
          </w:p>
        </w:tc>
        <w:tc>
          <w:tcPr>
            <w:tcW w:w="8455" w:type="dxa"/>
            <w:hideMark/>
          </w:tcPr>
          <w:p w14:paraId="72244393" w14:textId="77777777" w:rsidR="00FC2C5B" w:rsidRPr="0087487B" w:rsidRDefault="00FC2C5B" w:rsidP="00F24221">
            <w:pPr>
              <w:pStyle w:val="NormalWeb"/>
              <w:jc w:val="left"/>
              <w:rPr>
                <w:sz w:val="18"/>
                <w:szCs w:val="18"/>
              </w:rPr>
            </w:pPr>
            <w:r w:rsidRPr="0087487B">
              <w:rPr>
                <w:sz w:val="18"/>
                <w:szCs w:val="18"/>
              </w:rPr>
              <w:t>linezolid</w:t>
            </w:r>
          </w:p>
        </w:tc>
      </w:tr>
      <w:tr w:rsidR="00FC2C5B" w:rsidRPr="0087487B" w14:paraId="49A79731" w14:textId="77777777" w:rsidTr="00F24221">
        <w:trPr>
          <w:divId w:val="448665177"/>
        </w:trPr>
        <w:tc>
          <w:tcPr>
            <w:tcW w:w="1985" w:type="dxa"/>
            <w:hideMark/>
          </w:tcPr>
          <w:p w14:paraId="06A7194D" w14:textId="77777777" w:rsidR="00FC2C5B" w:rsidRPr="0087487B" w:rsidRDefault="00FC2C5B" w:rsidP="00F24221">
            <w:pPr>
              <w:pStyle w:val="NormalWeb"/>
              <w:jc w:val="left"/>
              <w:rPr>
                <w:sz w:val="18"/>
                <w:szCs w:val="18"/>
              </w:rPr>
            </w:pPr>
            <w:proofErr w:type="spellStart"/>
            <w:r w:rsidRPr="0087487B">
              <w:rPr>
                <w:sz w:val="18"/>
                <w:szCs w:val="18"/>
              </w:rPr>
              <w:t>Mpm</w:t>
            </w:r>
            <w:proofErr w:type="spellEnd"/>
          </w:p>
        </w:tc>
        <w:tc>
          <w:tcPr>
            <w:tcW w:w="8455" w:type="dxa"/>
            <w:hideMark/>
          </w:tcPr>
          <w:p w14:paraId="53825299" w14:textId="77777777" w:rsidR="00FC2C5B" w:rsidRPr="0087487B" w:rsidRDefault="00FC2C5B" w:rsidP="00F24221">
            <w:pPr>
              <w:pStyle w:val="NormalWeb"/>
              <w:jc w:val="left"/>
              <w:rPr>
                <w:sz w:val="18"/>
                <w:szCs w:val="18"/>
              </w:rPr>
            </w:pPr>
            <w:r w:rsidRPr="0087487B">
              <w:rPr>
                <w:sz w:val="18"/>
                <w:szCs w:val="18"/>
              </w:rPr>
              <w:t>Meropenem</w:t>
            </w:r>
          </w:p>
        </w:tc>
      </w:tr>
      <w:tr w:rsidR="00FC2C5B" w:rsidRPr="0087487B" w14:paraId="1A079253" w14:textId="77777777" w:rsidTr="00F24221">
        <w:trPr>
          <w:cnfStyle w:val="000000010000" w:firstRow="0" w:lastRow="0" w:firstColumn="0" w:lastColumn="0" w:oddVBand="0" w:evenVBand="0" w:oddHBand="0" w:evenHBand="1" w:firstRowFirstColumn="0" w:firstRowLastColumn="0" w:lastRowFirstColumn="0" w:lastRowLastColumn="0"/>
          <w:divId w:val="448665177"/>
        </w:trPr>
        <w:tc>
          <w:tcPr>
            <w:tcW w:w="1985" w:type="dxa"/>
            <w:hideMark/>
          </w:tcPr>
          <w:p w14:paraId="3D6003F3" w14:textId="77777777" w:rsidR="00FC2C5B" w:rsidRPr="0087487B" w:rsidRDefault="00FC2C5B" w:rsidP="00F24221">
            <w:pPr>
              <w:pStyle w:val="NormalWeb"/>
              <w:jc w:val="left"/>
              <w:rPr>
                <w:sz w:val="18"/>
                <w:szCs w:val="18"/>
              </w:rPr>
            </w:pPr>
            <w:proofErr w:type="spellStart"/>
            <w:r w:rsidRPr="0087487B">
              <w:rPr>
                <w:sz w:val="18"/>
                <w:szCs w:val="18"/>
              </w:rPr>
              <w:t>Mfx</w:t>
            </w:r>
            <w:proofErr w:type="spellEnd"/>
          </w:p>
        </w:tc>
        <w:tc>
          <w:tcPr>
            <w:tcW w:w="8455" w:type="dxa"/>
            <w:hideMark/>
          </w:tcPr>
          <w:p w14:paraId="27845041" w14:textId="77777777" w:rsidR="00FC2C5B" w:rsidRPr="0087487B" w:rsidRDefault="00FC2C5B" w:rsidP="00F24221">
            <w:pPr>
              <w:pStyle w:val="NormalWeb"/>
              <w:jc w:val="left"/>
              <w:rPr>
                <w:sz w:val="18"/>
                <w:szCs w:val="18"/>
              </w:rPr>
            </w:pPr>
            <w:r w:rsidRPr="0087487B">
              <w:rPr>
                <w:sz w:val="18"/>
                <w:szCs w:val="18"/>
              </w:rPr>
              <w:t>moxifloxacin</w:t>
            </w:r>
          </w:p>
        </w:tc>
      </w:tr>
      <w:tr w:rsidR="00FC2C5B" w:rsidRPr="0087487B" w14:paraId="25B1C7B0" w14:textId="77777777" w:rsidTr="00F24221">
        <w:trPr>
          <w:divId w:val="448665177"/>
        </w:trPr>
        <w:tc>
          <w:tcPr>
            <w:tcW w:w="1985" w:type="dxa"/>
            <w:hideMark/>
          </w:tcPr>
          <w:p w14:paraId="2F854349" w14:textId="77777777" w:rsidR="00FC2C5B" w:rsidRPr="0087487B" w:rsidRDefault="00FC2C5B" w:rsidP="00F24221">
            <w:pPr>
              <w:pStyle w:val="NormalWeb"/>
              <w:jc w:val="left"/>
              <w:rPr>
                <w:sz w:val="18"/>
                <w:szCs w:val="18"/>
              </w:rPr>
            </w:pPr>
            <w:r w:rsidRPr="0087487B">
              <w:rPr>
                <w:sz w:val="18"/>
                <w:szCs w:val="18"/>
              </w:rPr>
              <w:t>Pa</w:t>
            </w:r>
          </w:p>
        </w:tc>
        <w:tc>
          <w:tcPr>
            <w:tcW w:w="8455" w:type="dxa"/>
            <w:hideMark/>
          </w:tcPr>
          <w:p w14:paraId="267305C9" w14:textId="77777777" w:rsidR="00FC2C5B" w:rsidRPr="0087487B" w:rsidRDefault="00FC2C5B" w:rsidP="00F24221">
            <w:pPr>
              <w:pStyle w:val="NormalWeb"/>
              <w:jc w:val="left"/>
              <w:rPr>
                <w:sz w:val="18"/>
                <w:szCs w:val="18"/>
              </w:rPr>
            </w:pPr>
            <w:proofErr w:type="spellStart"/>
            <w:r w:rsidRPr="0087487B">
              <w:rPr>
                <w:sz w:val="18"/>
                <w:szCs w:val="18"/>
              </w:rPr>
              <w:t>pretomanid</w:t>
            </w:r>
            <w:proofErr w:type="spellEnd"/>
          </w:p>
        </w:tc>
      </w:tr>
      <w:tr w:rsidR="00FC2C5B" w:rsidRPr="0087487B" w14:paraId="4908F704" w14:textId="77777777" w:rsidTr="00F24221">
        <w:trPr>
          <w:cnfStyle w:val="000000010000" w:firstRow="0" w:lastRow="0" w:firstColumn="0" w:lastColumn="0" w:oddVBand="0" w:evenVBand="0" w:oddHBand="0" w:evenHBand="1" w:firstRowFirstColumn="0" w:firstRowLastColumn="0" w:lastRowFirstColumn="0" w:lastRowLastColumn="0"/>
          <w:divId w:val="448665177"/>
        </w:trPr>
        <w:tc>
          <w:tcPr>
            <w:tcW w:w="1985" w:type="dxa"/>
            <w:hideMark/>
          </w:tcPr>
          <w:p w14:paraId="30467258" w14:textId="77777777" w:rsidR="00FC2C5B" w:rsidRPr="0087487B" w:rsidRDefault="00FC2C5B" w:rsidP="00F24221">
            <w:pPr>
              <w:pStyle w:val="NormalWeb"/>
              <w:jc w:val="left"/>
              <w:rPr>
                <w:sz w:val="18"/>
                <w:szCs w:val="18"/>
              </w:rPr>
            </w:pPr>
            <w:proofErr w:type="spellStart"/>
            <w:r w:rsidRPr="0087487B">
              <w:rPr>
                <w:sz w:val="18"/>
                <w:szCs w:val="18"/>
              </w:rPr>
              <w:t>Pto</w:t>
            </w:r>
            <w:proofErr w:type="spellEnd"/>
          </w:p>
        </w:tc>
        <w:tc>
          <w:tcPr>
            <w:tcW w:w="8455" w:type="dxa"/>
            <w:hideMark/>
          </w:tcPr>
          <w:p w14:paraId="199D77C8" w14:textId="77777777" w:rsidR="00FC2C5B" w:rsidRPr="0087487B" w:rsidRDefault="00FC2C5B" w:rsidP="00F24221">
            <w:pPr>
              <w:pStyle w:val="NormalWeb"/>
              <w:jc w:val="left"/>
              <w:rPr>
                <w:sz w:val="18"/>
                <w:szCs w:val="18"/>
              </w:rPr>
            </w:pPr>
            <w:proofErr w:type="spellStart"/>
            <w:r w:rsidRPr="0087487B">
              <w:rPr>
                <w:sz w:val="18"/>
                <w:szCs w:val="18"/>
              </w:rPr>
              <w:t>prothionamide</w:t>
            </w:r>
            <w:proofErr w:type="spellEnd"/>
          </w:p>
        </w:tc>
      </w:tr>
      <w:tr w:rsidR="00FC2C5B" w:rsidRPr="0087487B" w14:paraId="0C24BA54" w14:textId="77777777" w:rsidTr="00F24221">
        <w:trPr>
          <w:divId w:val="448665177"/>
        </w:trPr>
        <w:tc>
          <w:tcPr>
            <w:tcW w:w="1985" w:type="dxa"/>
            <w:hideMark/>
          </w:tcPr>
          <w:p w14:paraId="77F9399A" w14:textId="77777777" w:rsidR="00FC2C5B" w:rsidRPr="0087487B" w:rsidRDefault="00FC2C5B" w:rsidP="00F24221">
            <w:pPr>
              <w:pStyle w:val="NormalWeb"/>
              <w:jc w:val="left"/>
              <w:rPr>
                <w:sz w:val="18"/>
                <w:szCs w:val="18"/>
              </w:rPr>
            </w:pPr>
            <w:r w:rsidRPr="0087487B">
              <w:rPr>
                <w:sz w:val="18"/>
                <w:szCs w:val="18"/>
              </w:rPr>
              <w:t>PAS</w:t>
            </w:r>
          </w:p>
        </w:tc>
        <w:tc>
          <w:tcPr>
            <w:tcW w:w="8455" w:type="dxa"/>
            <w:hideMark/>
          </w:tcPr>
          <w:p w14:paraId="2F23D164" w14:textId="77777777" w:rsidR="00FC2C5B" w:rsidRPr="0087487B" w:rsidRDefault="00FC2C5B" w:rsidP="00F24221">
            <w:pPr>
              <w:pStyle w:val="NormalWeb"/>
              <w:jc w:val="left"/>
              <w:rPr>
                <w:sz w:val="18"/>
                <w:szCs w:val="18"/>
              </w:rPr>
            </w:pPr>
            <w:r w:rsidRPr="0087487B">
              <w:rPr>
                <w:sz w:val="18"/>
                <w:szCs w:val="18"/>
              </w:rPr>
              <w:t>para-</w:t>
            </w:r>
            <w:proofErr w:type="spellStart"/>
            <w:r w:rsidRPr="0087487B">
              <w:rPr>
                <w:sz w:val="18"/>
                <w:szCs w:val="18"/>
              </w:rPr>
              <w:t>aminosalicylic</w:t>
            </w:r>
            <w:proofErr w:type="spellEnd"/>
            <w:r w:rsidRPr="0087487B">
              <w:rPr>
                <w:sz w:val="18"/>
                <w:szCs w:val="18"/>
              </w:rPr>
              <w:t xml:space="preserve"> acid</w:t>
            </w:r>
          </w:p>
        </w:tc>
      </w:tr>
      <w:tr w:rsidR="00FC2C5B" w:rsidRPr="0087487B" w14:paraId="26A2AB97" w14:textId="77777777" w:rsidTr="00F24221">
        <w:trPr>
          <w:cnfStyle w:val="000000010000" w:firstRow="0" w:lastRow="0" w:firstColumn="0" w:lastColumn="0" w:oddVBand="0" w:evenVBand="0" w:oddHBand="0" w:evenHBand="1" w:firstRowFirstColumn="0" w:firstRowLastColumn="0" w:lastRowFirstColumn="0" w:lastRowLastColumn="0"/>
          <w:divId w:val="448665177"/>
        </w:trPr>
        <w:tc>
          <w:tcPr>
            <w:tcW w:w="1985" w:type="dxa"/>
            <w:hideMark/>
          </w:tcPr>
          <w:p w14:paraId="780CE98D" w14:textId="77777777" w:rsidR="00FC2C5B" w:rsidRPr="0087487B" w:rsidRDefault="00FC2C5B" w:rsidP="00F24221">
            <w:pPr>
              <w:pStyle w:val="NormalWeb"/>
              <w:jc w:val="left"/>
              <w:rPr>
                <w:sz w:val="18"/>
                <w:szCs w:val="18"/>
              </w:rPr>
            </w:pPr>
            <w:r w:rsidRPr="0087487B">
              <w:rPr>
                <w:sz w:val="18"/>
                <w:szCs w:val="18"/>
              </w:rPr>
              <w:t xml:space="preserve">R </w:t>
            </w:r>
          </w:p>
        </w:tc>
        <w:tc>
          <w:tcPr>
            <w:tcW w:w="8455" w:type="dxa"/>
            <w:hideMark/>
          </w:tcPr>
          <w:p w14:paraId="2268B98A" w14:textId="77777777" w:rsidR="00FC2C5B" w:rsidRPr="0087487B" w:rsidRDefault="00FC2C5B" w:rsidP="00F24221">
            <w:pPr>
              <w:pStyle w:val="NormalWeb"/>
              <w:jc w:val="left"/>
              <w:rPr>
                <w:sz w:val="18"/>
                <w:szCs w:val="18"/>
              </w:rPr>
            </w:pPr>
            <w:r w:rsidRPr="0087487B">
              <w:rPr>
                <w:sz w:val="18"/>
                <w:szCs w:val="18"/>
              </w:rPr>
              <w:t>rifampicin</w:t>
            </w:r>
          </w:p>
        </w:tc>
      </w:tr>
      <w:tr w:rsidR="00FC2C5B" w:rsidRPr="0087487B" w14:paraId="2B0FC56C" w14:textId="77777777" w:rsidTr="00F24221">
        <w:trPr>
          <w:divId w:val="448665177"/>
        </w:trPr>
        <w:tc>
          <w:tcPr>
            <w:tcW w:w="1985" w:type="dxa"/>
            <w:hideMark/>
          </w:tcPr>
          <w:p w14:paraId="499D8C22" w14:textId="77777777" w:rsidR="00FC2C5B" w:rsidRPr="0087487B" w:rsidRDefault="00FC2C5B" w:rsidP="00F24221">
            <w:pPr>
              <w:pStyle w:val="NormalWeb"/>
              <w:jc w:val="left"/>
              <w:rPr>
                <w:sz w:val="18"/>
                <w:szCs w:val="18"/>
              </w:rPr>
            </w:pPr>
            <w:r w:rsidRPr="0087487B">
              <w:rPr>
                <w:sz w:val="18"/>
                <w:szCs w:val="18"/>
              </w:rPr>
              <w:t>S</w:t>
            </w:r>
          </w:p>
        </w:tc>
        <w:tc>
          <w:tcPr>
            <w:tcW w:w="8455" w:type="dxa"/>
            <w:hideMark/>
          </w:tcPr>
          <w:p w14:paraId="3C15CABF" w14:textId="77777777" w:rsidR="00FC2C5B" w:rsidRPr="0087487B" w:rsidRDefault="00FC2C5B" w:rsidP="00F24221">
            <w:pPr>
              <w:pStyle w:val="NormalWeb"/>
              <w:jc w:val="left"/>
              <w:rPr>
                <w:sz w:val="18"/>
                <w:szCs w:val="18"/>
              </w:rPr>
            </w:pPr>
            <w:r w:rsidRPr="0087487B">
              <w:rPr>
                <w:sz w:val="18"/>
                <w:szCs w:val="18"/>
              </w:rPr>
              <w:t>streptomycin</w:t>
            </w:r>
          </w:p>
        </w:tc>
      </w:tr>
      <w:tr w:rsidR="00FC2C5B" w:rsidRPr="0087487B" w14:paraId="39D0A8BB" w14:textId="77777777" w:rsidTr="00F24221">
        <w:trPr>
          <w:cnfStyle w:val="000000010000" w:firstRow="0" w:lastRow="0" w:firstColumn="0" w:lastColumn="0" w:oddVBand="0" w:evenVBand="0" w:oddHBand="0" w:evenHBand="1" w:firstRowFirstColumn="0" w:firstRowLastColumn="0" w:lastRowFirstColumn="0" w:lastRowLastColumn="0"/>
          <w:divId w:val="448665177"/>
        </w:trPr>
        <w:tc>
          <w:tcPr>
            <w:tcW w:w="1985" w:type="dxa"/>
            <w:hideMark/>
          </w:tcPr>
          <w:p w14:paraId="17159761" w14:textId="77777777" w:rsidR="00FC2C5B" w:rsidRPr="0087487B" w:rsidRDefault="00FC2C5B" w:rsidP="00F24221">
            <w:pPr>
              <w:pStyle w:val="NormalWeb"/>
              <w:jc w:val="left"/>
              <w:rPr>
                <w:sz w:val="18"/>
                <w:szCs w:val="18"/>
              </w:rPr>
            </w:pPr>
            <w:proofErr w:type="spellStart"/>
            <w:r w:rsidRPr="0087487B">
              <w:rPr>
                <w:sz w:val="18"/>
                <w:szCs w:val="18"/>
              </w:rPr>
              <w:t>Trd</w:t>
            </w:r>
            <w:proofErr w:type="spellEnd"/>
          </w:p>
        </w:tc>
        <w:tc>
          <w:tcPr>
            <w:tcW w:w="8455" w:type="dxa"/>
            <w:hideMark/>
          </w:tcPr>
          <w:p w14:paraId="325D213B" w14:textId="77777777" w:rsidR="00FC2C5B" w:rsidRPr="0087487B" w:rsidRDefault="00FC2C5B" w:rsidP="00F24221">
            <w:pPr>
              <w:pStyle w:val="NormalWeb"/>
              <w:jc w:val="left"/>
              <w:rPr>
                <w:sz w:val="18"/>
                <w:szCs w:val="18"/>
              </w:rPr>
            </w:pPr>
            <w:r w:rsidRPr="0087487B">
              <w:rPr>
                <w:sz w:val="18"/>
                <w:szCs w:val="18"/>
              </w:rPr>
              <w:t>terizidone</w:t>
            </w:r>
          </w:p>
        </w:tc>
      </w:tr>
      <w:tr w:rsidR="00FC2C5B" w:rsidRPr="0087487B" w14:paraId="770A23F6" w14:textId="77777777" w:rsidTr="00F24221">
        <w:trPr>
          <w:divId w:val="448665177"/>
        </w:trPr>
        <w:tc>
          <w:tcPr>
            <w:tcW w:w="1985" w:type="dxa"/>
            <w:tcBorders>
              <w:bottom w:val="single" w:sz="4" w:space="0" w:color="808080" w:themeColor="background1" w:themeShade="80"/>
            </w:tcBorders>
            <w:hideMark/>
          </w:tcPr>
          <w:p w14:paraId="14E5CEAD" w14:textId="77777777" w:rsidR="00FC2C5B" w:rsidRPr="0087487B" w:rsidRDefault="00FC2C5B" w:rsidP="00F24221">
            <w:pPr>
              <w:pStyle w:val="NormalWeb"/>
              <w:jc w:val="left"/>
              <w:rPr>
                <w:sz w:val="18"/>
                <w:szCs w:val="18"/>
              </w:rPr>
            </w:pPr>
            <w:r w:rsidRPr="0087487B">
              <w:rPr>
                <w:sz w:val="18"/>
                <w:szCs w:val="18"/>
              </w:rPr>
              <w:t xml:space="preserve">Z </w:t>
            </w:r>
          </w:p>
        </w:tc>
        <w:tc>
          <w:tcPr>
            <w:tcW w:w="8455" w:type="dxa"/>
            <w:tcBorders>
              <w:bottom w:val="single" w:sz="4" w:space="0" w:color="808080" w:themeColor="background1" w:themeShade="80"/>
            </w:tcBorders>
            <w:hideMark/>
          </w:tcPr>
          <w:p w14:paraId="4F3673ED" w14:textId="77777777" w:rsidR="00FC2C5B" w:rsidRPr="0087487B" w:rsidRDefault="00FC2C5B" w:rsidP="00F24221">
            <w:pPr>
              <w:pStyle w:val="NormalWeb"/>
              <w:jc w:val="left"/>
              <w:rPr>
                <w:sz w:val="18"/>
                <w:szCs w:val="18"/>
              </w:rPr>
            </w:pPr>
            <w:r w:rsidRPr="0087487B">
              <w:rPr>
                <w:sz w:val="18"/>
                <w:szCs w:val="18"/>
              </w:rPr>
              <w:t>pyrazinamide</w:t>
            </w:r>
          </w:p>
        </w:tc>
      </w:tr>
    </w:tbl>
    <w:p w14:paraId="6617DD01" w14:textId="77777777" w:rsidR="00F605B4" w:rsidRPr="0087487B" w:rsidRDefault="00F605B4" w:rsidP="00976A24">
      <w:pPr>
        <w:pStyle w:val="Heading1"/>
        <w:divId w:val="448665177"/>
      </w:pPr>
      <w:r w:rsidRPr="0087487B">
        <w:t xml:space="preserve">1. Introduction </w:t>
      </w:r>
    </w:p>
    <w:p w14:paraId="3C8662AE" w14:textId="77777777" w:rsidR="00F605B4" w:rsidRPr="0087487B" w:rsidRDefault="00F605B4" w:rsidP="000F29CD">
      <w:pPr>
        <w:divId w:val="448665177"/>
      </w:pPr>
      <w:r w:rsidRPr="0087487B">
        <w:t xml:space="preserve">The emergence of multidrug-resistant (MDR-) tuberculosis (TB) since the 1990s has posed substantial challenges to TB care and prevention on a global basis. Although Australia has </w:t>
      </w:r>
      <w:proofErr w:type="gramStart"/>
      <w:r w:rsidRPr="0087487B">
        <w:t>maintained</w:t>
      </w:r>
      <w:proofErr w:type="gramEnd"/>
      <w:r w:rsidRPr="0087487B">
        <w:t xml:space="preserve"> good TB control with low annual rates of MDR-TB, the significant numbers of new arrivals from high TB burden countries means that Australia will continue to be exposed to this issue through the migration of persons already infected with drug-resistant TB strains. </w:t>
      </w:r>
    </w:p>
    <w:p w14:paraId="0A847598" w14:textId="77777777" w:rsidR="00F605B4" w:rsidRPr="0087487B" w:rsidRDefault="00F605B4" w:rsidP="000F29CD">
      <w:pPr>
        <w:divId w:val="448665177"/>
      </w:pPr>
      <w:r w:rsidRPr="0087487B">
        <w:t>Guidance until 2010 on the construct and duration of treatment regimens for use in MDR-TB cases had largely been based on expert consensus recommendations.</w:t>
      </w:r>
      <w:r w:rsidRPr="0087487B">
        <w:rPr>
          <w:vertAlign w:val="superscript"/>
        </w:rPr>
        <w:t>12,13</w:t>
      </w:r>
      <w:r w:rsidRPr="0087487B">
        <w:t xml:space="preserve"> The key principles were to construct a regimen using a step-wise approach based on treatment history, drug susceptibility testing (DST) and the hierarchy of second line drug groups recommended at the time, using at least four drugs with reasonably certain effectiveness that included as a core a </w:t>
      </w:r>
      <w:r w:rsidRPr="0087487B">
        <w:lastRenderedPageBreak/>
        <w:t>later generation fluoroquinolone and an injectable agent. Treatment durations of 18–24 months have proven problematic due to drug toxicities and unsatisfactory treatment outcomes further aggravated by psycho-social and financial difficulties for the patient.</w:t>
      </w:r>
      <w:r w:rsidRPr="0087487B">
        <w:rPr>
          <w:vertAlign w:val="superscript"/>
        </w:rPr>
        <w:t>12,</w:t>
      </w:r>
      <w:proofErr w:type="gramStart"/>
      <w:r w:rsidRPr="0087487B">
        <w:rPr>
          <w:vertAlign w:val="superscript"/>
        </w:rPr>
        <w:t>13</w:t>
      </w:r>
      <w:proofErr w:type="gramEnd"/>
      <w:r w:rsidRPr="0087487B">
        <w:rPr>
          <w:vertAlign w:val="superscript"/>
        </w:rPr>
        <w:t xml:space="preserve"> </w:t>
      </w:r>
    </w:p>
    <w:p w14:paraId="16A00D88" w14:textId="77777777" w:rsidR="00F605B4" w:rsidRPr="0087487B" w:rsidRDefault="00F605B4" w:rsidP="000F29CD">
      <w:pPr>
        <w:divId w:val="448665177"/>
      </w:pPr>
      <w:r w:rsidRPr="0087487B">
        <w:t>However, over the past decade there have been some important advances reflecting significant changes in available diagnostic and treatment options. The endorsement by the WHO in 2016 of a shorter standardised regimen (9–12 months) known as the ‘Bangladesh’ regimen was an important initial step forward, particularly in the low and middle income countries, in the effort to overcome some of the patient and health care challenges related to the use of the longer regimens.</w:t>
      </w:r>
      <w:r w:rsidRPr="0087487B">
        <w:rPr>
          <w:vertAlign w:val="superscript"/>
        </w:rPr>
        <w:t>14</w:t>
      </w:r>
      <w:r w:rsidRPr="0087487B">
        <w:t xml:space="preserve"> </w:t>
      </w:r>
    </w:p>
    <w:p w14:paraId="1533CE8F" w14:textId="77777777" w:rsidR="00F605B4" w:rsidRPr="0087487B" w:rsidRDefault="00F605B4" w:rsidP="000F29CD">
      <w:pPr>
        <w:divId w:val="448665177"/>
      </w:pPr>
      <w:r w:rsidRPr="0087487B">
        <w:t xml:space="preserve">The advent of rapid molecular based methods to detect mutations most frequently associated with resistant strains is leading to the </w:t>
      </w:r>
      <w:proofErr w:type="gramStart"/>
      <w:r w:rsidRPr="0087487B">
        <w:t>more timely</w:t>
      </w:r>
      <w:proofErr w:type="gramEnd"/>
      <w:r w:rsidRPr="0087487B">
        <w:t xml:space="preserve"> detection and implementation of treatment for MDR-TB. Newer drug options such as </w:t>
      </w:r>
      <w:proofErr w:type="spellStart"/>
      <w:r w:rsidRPr="0087487B">
        <w:t>bedaquiline</w:t>
      </w:r>
      <w:proofErr w:type="spellEnd"/>
      <w:r w:rsidRPr="0087487B">
        <w:t xml:space="preserve">, </w:t>
      </w:r>
      <w:proofErr w:type="spellStart"/>
      <w:r w:rsidRPr="0087487B">
        <w:t>delamanid</w:t>
      </w:r>
      <w:proofErr w:type="spellEnd"/>
      <w:r w:rsidRPr="0087487B">
        <w:t xml:space="preserve">, </w:t>
      </w:r>
      <w:proofErr w:type="spellStart"/>
      <w:r w:rsidRPr="0087487B">
        <w:t>pretomanid</w:t>
      </w:r>
      <w:proofErr w:type="spellEnd"/>
      <w:r w:rsidRPr="0087487B">
        <w:t xml:space="preserve">, and linezolid have </w:t>
      </w:r>
      <w:proofErr w:type="gramStart"/>
      <w:r w:rsidRPr="0087487B">
        <w:t>facilitated</w:t>
      </w:r>
      <w:proofErr w:type="gramEnd"/>
      <w:r w:rsidRPr="0087487B">
        <w:t xml:space="preserve"> a key shift in focus to the use of all-oral shorter and longer course regimens in association with an enhanced approach to patient-centred care and support. Injectable agents have </w:t>
      </w:r>
      <w:proofErr w:type="gramStart"/>
      <w:r w:rsidRPr="0087487B">
        <w:t>largely been</w:t>
      </w:r>
      <w:proofErr w:type="gramEnd"/>
      <w:r w:rsidRPr="0087487B">
        <w:t xml:space="preserve"> replaced by oral agents in these regimens because of their unacceptable rate of adverse events and administration issues.</w:t>
      </w:r>
      <w:r w:rsidRPr="0087487B">
        <w:rPr>
          <w:vertAlign w:val="superscript"/>
        </w:rPr>
        <w:t>1,3–5</w:t>
      </w:r>
      <w:r w:rsidRPr="0087487B">
        <w:t xml:space="preserve"> Advocacy groups have strongly supported these innovations. </w:t>
      </w:r>
    </w:p>
    <w:p w14:paraId="7F88079B" w14:textId="77777777" w:rsidR="00F605B4" w:rsidRPr="0087487B" w:rsidRDefault="00F605B4" w:rsidP="000F29CD">
      <w:pPr>
        <w:divId w:val="448665177"/>
      </w:pPr>
      <w:r w:rsidRPr="0087487B">
        <w:t xml:space="preserve">The transition to the new all-oral treatment recommendations was first announced by WHO in 2018 based on work undertaken by Guideline Development Groups (GDGs) using the GRADE* </w:t>
      </w:r>
      <w:proofErr w:type="gramStart"/>
      <w:r w:rsidRPr="0087487B">
        <w:t>methodology</w:t>
      </w:r>
      <w:proofErr w:type="gramEnd"/>
      <w:r w:rsidRPr="0087487B">
        <w:t xml:space="preserve">. This approach </w:t>
      </w:r>
      <w:proofErr w:type="gramStart"/>
      <w:r w:rsidRPr="0087487B">
        <w:t>comprised</w:t>
      </w:r>
      <w:proofErr w:type="gramEnd"/>
      <w:r w:rsidRPr="0087487B">
        <w:t xml:space="preserve"> reviewing individual patient data (IPD) from several thousand records from multiple studies worldwide to assess the relative influence of different treatment combinations to patient outcomes. The relative risks assigned to the various drugs used in MDR-TB treatment regimens were used to form the new tier of drug groupings (Table 1).</w:t>
      </w:r>
      <w:r w:rsidRPr="0087487B">
        <w:rPr>
          <w:vertAlign w:val="superscript"/>
        </w:rPr>
        <w:t>4</w:t>
      </w:r>
      <w:r w:rsidRPr="0087487B">
        <w:t xml:space="preserve"> Subsequent ATS/CDC/ERS/IDSA guidance (2019), using a similar methodology, made recommendations in keeping with those of the WHO but with an emphasis on an individualised approach to regimen design based on DST.</w:t>
      </w:r>
      <w:r w:rsidRPr="0087487B">
        <w:rPr>
          <w:vertAlign w:val="superscript"/>
        </w:rPr>
        <w:t>5</w:t>
      </w:r>
      <w:r w:rsidRPr="0087487B">
        <w:t xml:space="preserve"> This contrasted to the standardised empiric approach of the WHO directed at low-income, high-burden settings where DST data are often limited. </w:t>
      </w:r>
    </w:p>
    <w:p w14:paraId="2098C656" w14:textId="77777777" w:rsidR="00F605B4" w:rsidRPr="0087487B" w:rsidRDefault="00F605B4" w:rsidP="000F29CD">
      <w:pPr>
        <w:divId w:val="448665177"/>
      </w:pPr>
      <w:r w:rsidRPr="0087487B">
        <w:t>Further key announcements have occurred in relation to the recommendations for use of shorter course MDR-TB treatment regimens. Initially this simply related to modification of the 2016 ‘Bangladesh’ regimen through replacement of the injectable agent amikacin by bedaquiline.</w:t>
      </w:r>
      <w:r w:rsidRPr="0087487B">
        <w:rPr>
          <w:vertAlign w:val="superscript"/>
        </w:rPr>
        <w:t>3</w:t>
      </w:r>
      <w:r w:rsidRPr="0087487B">
        <w:t xml:space="preserve"> In May 2022, a key WHO advisory was issued based on outcomes from the ongoing TB-PRACTECAL and </w:t>
      </w:r>
      <w:proofErr w:type="spellStart"/>
      <w:r w:rsidRPr="0087487B">
        <w:t>ZeNix</w:t>
      </w:r>
      <w:proofErr w:type="spellEnd"/>
      <w:r w:rsidRPr="0087487B">
        <w:t xml:space="preserve"> studies.</w:t>
      </w:r>
      <w:r w:rsidRPr="0087487B">
        <w:rPr>
          <w:vertAlign w:val="superscript"/>
        </w:rPr>
        <w:t>2,9,11</w:t>
      </w:r>
      <w:r w:rsidRPr="0087487B">
        <w:t xml:space="preserve"> This supported programmatic implementation of the 6-month </w:t>
      </w:r>
      <w:proofErr w:type="spellStart"/>
      <w:r w:rsidRPr="0087487B">
        <w:t>BPaLM</w:t>
      </w:r>
      <w:proofErr w:type="spellEnd"/>
      <w:r w:rsidRPr="0087487B">
        <w:t xml:space="preserve"> (</w:t>
      </w:r>
      <w:proofErr w:type="spellStart"/>
      <w:r w:rsidRPr="0087487B">
        <w:t>bedaquiline</w:t>
      </w:r>
      <w:proofErr w:type="spellEnd"/>
      <w:r w:rsidRPr="0087487B">
        <w:t xml:space="preserve">, </w:t>
      </w:r>
      <w:proofErr w:type="spellStart"/>
      <w:r w:rsidRPr="0087487B">
        <w:t>pretomanid</w:t>
      </w:r>
      <w:proofErr w:type="spellEnd"/>
      <w:r w:rsidRPr="0087487B">
        <w:t xml:space="preserve">, linezolid, moxifloxacin) and </w:t>
      </w:r>
      <w:proofErr w:type="spellStart"/>
      <w:r w:rsidRPr="0087487B">
        <w:t>BPaL</w:t>
      </w:r>
      <w:proofErr w:type="spellEnd"/>
      <w:r w:rsidRPr="0087487B">
        <w:t xml:space="preserve"> (</w:t>
      </w:r>
      <w:proofErr w:type="spellStart"/>
      <w:r w:rsidRPr="0087487B">
        <w:t>bedaquiline</w:t>
      </w:r>
      <w:proofErr w:type="spellEnd"/>
      <w:r w:rsidRPr="0087487B">
        <w:t xml:space="preserve">, </w:t>
      </w:r>
      <w:proofErr w:type="spellStart"/>
      <w:r w:rsidRPr="0087487B">
        <w:t>pretomanid</w:t>
      </w:r>
      <w:proofErr w:type="spellEnd"/>
      <w:r w:rsidRPr="0087487B">
        <w:t xml:space="preserve">, linezolid) regimens for treatment of fluoroquinolone susceptible and fluoroquinolone resistant MDR-TB respectively for most patients. </w:t>
      </w:r>
    </w:p>
    <w:p w14:paraId="1FFDA2FE" w14:textId="77777777" w:rsidR="00F605B4" w:rsidRPr="0087487B" w:rsidRDefault="00F605B4" w:rsidP="000F29CD">
      <w:pPr>
        <w:divId w:val="448665177"/>
      </w:pPr>
      <w:r w:rsidRPr="0087487B">
        <w:t xml:space="preserve">Overall, the key changes in recommendations from guidelines pre-2018 emphasise: </w:t>
      </w:r>
    </w:p>
    <w:p w14:paraId="6062A444" w14:textId="77777777" w:rsidR="00F605B4" w:rsidRPr="0087487B" w:rsidRDefault="00F605B4" w:rsidP="00934C63">
      <w:pPr>
        <w:numPr>
          <w:ilvl w:val="0"/>
          <w:numId w:val="12"/>
        </w:numPr>
        <w:spacing w:before="100" w:beforeAutospacing="1" w:after="100" w:afterAutospacing="1" w:line="240" w:lineRule="auto"/>
        <w:divId w:val="448665177"/>
        <w:rPr>
          <w:rFonts w:eastAsia="Times New Roman"/>
        </w:rPr>
      </w:pPr>
      <w:r w:rsidRPr="0087487B">
        <w:rPr>
          <w:rFonts w:eastAsia="Times New Roman"/>
        </w:rPr>
        <w:t xml:space="preserve">The need for an enhanced focus on patient-centred care and support measures to help patients better understand their diagnosis and treatment and minimise potential barriers. </w:t>
      </w:r>
    </w:p>
    <w:p w14:paraId="4344B52C" w14:textId="77777777" w:rsidR="00F605B4" w:rsidRPr="0087487B" w:rsidRDefault="00F605B4" w:rsidP="00934C63">
      <w:pPr>
        <w:numPr>
          <w:ilvl w:val="0"/>
          <w:numId w:val="12"/>
        </w:numPr>
        <w:spacing w:before="100" w:beforeAutospacing="1" w:after="100" w:afterAutospacing="1" w:line="240" w:lineRule="auto"/>
        <w:divId w:val="448665177"/>
        <w:rPr>
          <w:rFonts w:eastAsia="Times New Roman"/>
        </w:rPr>
      </w:pPr>
      <w:r w:rsidRPr="0087487B">
        <w:rPr>
          <w:rFonts w:eastAsia="Times New Roman"/>
        </w:rPr>
        <w:t xml:space="preserve">The strong recommendation that an all-oral shorter course regimen be used in preference to an injectable </w:t>
      </w:r>
      <w:proofErr w:type="gramStart"/>
      <w:r w:rsidRPr="0087487B">
        <w:rPr>
          <w:rFonts w:eastAsia="Times New Roman"/>
        </w:rPr>
        <w:t>containing</w:t>
      </w:r>
      <w:proofErr w:type="gramEnd"/>
      <w:r w:rsidRPr="0087487B">
        <w:rPr>
          <w:rFonts w:eastAsia="Times New Roman"/>
        </w:rPr>
        <w:t xml:space="preserve"> one unless there is no alternative. </w:t>
      </w:r>
    </w:p>
    <w:p w14:paraId="3DE7251D" w14:textId="77777777" w:rsidR="00F605B4" w:rsidRPr="0087487B" w:rsidRDefault="00F605B4" w:rsidP="00934C63">
      <w:pPr>
        <w:numPr>
          <w:ilvl w:val="0"/>
          <w:numId w:val="12"/>
        </w:numPr>
        <w:spacing w:before="100" w:beforeAutospacing="1" w:after="100" w:afterAutospacing="1" w:line="240" w:lineRule="auto"/>
        <w:divId w:val="448665177"/>
        <w:rPr>
          <w:rFonts w:eastAsia="Times New Roman"/>
        </w:rPr>
      </w:pPr>
      <w:r w:rsidRPr="0087487B">
        <w:rPr>
          <w:rFonts w:eastAsia="Times New Roman"/>
        </w:rPr>
        <w:t xml:space="preserve">Certain drugs from previous groupings are no longer recommended; the injectable </w:t>
      </w:r>
      <w:proofErr w:type="gramStart"/>
      <w:r w:rsidRPr="0087487B">
        <w:rPr>
          <w:rFonts w:eastAsia="Times New Roman"/>
        </w:rPr>
        <w:t>agents</w:t>
      </w:r>
      <w:proofErr w:type="gramEnd"/>
      <w:r w:rsidRPr="0087487B">
        <w:rPr>
          <w:rFonts w:eastAsia="Times New Roman"/>
        </w:rPr>
        <w:t xml:space="preserve"> kanamycin and capreomycin, and amoxicillin/clavulanic acid alone. </w:t>
      </w:r>
    </w:p>
    <w:p w14:paraId="678791FD" w14:textId="77777777" w:rsidR="00F605B4" w:rsidRPr="0087487B" w:rsidRDefault="00F605B4" w:rsidP="000F29CD">
      <w:pPr>
        <w:divId w:val="448665177"/>
      </w:pPr>
      <w:r w:rsidRPr="0087487B">
        <w:t xml:space="preserve">This document, which is current as of June 2023, is intended to </w:t>
      </w:r>
      <w:proofErr w:type="gramStart"/>
      <w:r w:rsidRPr="0087487B">
        <w:t>provide</w:t>
      </w:r>
      <w:proofErr w:type="gramEnd"/>
      <w:r w:rsidRPr="0087487B">
        <w:t xml:space="preserve"> an overview of the current guidance on the management of drug-resistant tuberculosis (DR-TB) based on the most recent evidence. However, it is important to acknowledge that this is a rapidly evolving area and with trials of new regimens and classes of drugs in the pipeline there are likely to be further changes in guidance on the treatment of drug-resistant TB in the next few years.</w:t>
      </w:r>
    </w:p>
    <w:p w14:paraId="56F8898D" w14:textId="77777777" w:rsidR="00F605B4" w:rsidRPr="0087487B" w:rsidRDefault="00F605B4">
      <w:pPr>
        <w:pStyle w:val="Heading2"/>
        <w:divId w:val="448665177"/>
        <w:rPr>
          <w:rFonts w:eastAsia="Times New Roman"/>
        </w:rPr>
      </w:pPr>
      <w:r w:rsidRPr="0087487B">
        <w:rPr>
          <w:rFonts w:eastAsia="Times New Roman"/>
        </w:rPr>
        <w:lastRenderedPageBreak/>
        <w:t xml:space="preserve">Definitions </w:t>
      </w:r>
    </w:p>
    <w:p w14:paraId="17C1BC9E" w14:textId="77777777" w:rsidR="00F605B4" w:rsidRPr="0087487B" w:rsidRDefault="00F605B4" w:rsidP="000F29CD">
      <w:pPr>
        <w:divId w:val="448665177"/>
      </w:pPr>
      <w:r w:rsidRPr="0087487B">
        <w:t xml:space="preserve">The definition of MDR-TB </w:t>
      </w:r>
      <w:proofErr w:type="gramStart"/>
      <w:r w:rsidRPr="0087487B">
        <w:t>remains</w:t>
      </w:r>
      <w:proofErr w:type="gramEnd"/>
      <w:r w:rsidRPr="0087487B">
        <w:t xml:space="preserve"> unchanged. However, the WHO definition of XDR-TB was updated, and that of pre-XDR-TB included, following a WHO Expert Consultation meeting in October 2020 to reflect the changes in second line drug groupings (with an all-oral approach to regimen design) and also allow for future changes that may occur to the group A drugs. The revisions came into effect from January 2021.</w:t>
      </w:r>
      <w:r w:rsidRPr="0087487B">
        <w:rPr>
          <w:vertAlign w:val="superscript"/>
        </w:rPr>
        <w:t>15</w:t>
      </w:r>
      <w:r w:rsidRPr="0087487B">
        <w:t xml:space="preserve"> Disease severity is also defined given its importance to regimen </w:t>
      </w:r>
      <w:proofErr w:type="gramStart"/>
      <w:r w:rsidRPr="0087487B">
        <w:t>selection</w:t>
      </w:r>
      <w:proofErr w:type="gramEnd"/>
      <w:r w:rsidRPr="0087487B">
        <w:t xml:space="preserve">. </w:t>
      </w:r>
    </w:p>
    <w:p w14:paraId="4E3DBB18" w14:textId="5037BF9E" w:rsidR="00BD6EE5" w:rsidRPr="0087487B" w:rsidRDefault="00CA0AEF">
      <w:pPr>
        <w:pStyle w:val="Heading3"/>
        <w:divId w:val="448665177"/>
        <w:rPr>
          <w:rFonts w:eastAsia="Times New Roman"/>
        </w:rPr>
      </w:pPr>
      <w:r w:rsidRPr="0087487B">
        <w:rPr>
          <w:rFonts w:eastAsia="Times New Roman"/>
          <w:noProof/>
        </w:rPr>
        <mc:AlternateContent>
          <mc:Choice Requires="wps">
            <w:drawing>
              <wp:inline distT="0" distB="0" distL="0" distR="0" wp14:anchorId="05BEF9C0" wp14:editId="27ED2933">
                <wp:extent cx="6629400" cy="1404620"/>
                <wp:effectExtent l="0" t="0" r="0" b="19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7ECDD"/>
                        </a:solidFill>
                        <a:ln w="3175">
                          <a:noFill/>
                          <a:miter lim="800000"/>
                          <a:headEnd/>
                          <a:tailEnd/>
                        </a:ln>
                      </wps:spPr>
                      <wps:txbx>
                        <w:txbxContent>
                          <w:p w14:paraId="5EC15308" w14:textId="77777777" w:rsidR="00C40B55" w:rsidRPr="003D6525" w:rsidRDefault="00C40B55" w:rsidP="003D6525">
                            <w:pPr>
                              <w:pStyle w:val="Heading3"/>
                            </w:pPr>
                            <w:r w:rsidRPr="003D6525">
                              <w:t xml:space="preserve">Multi- and extensive drug resistance definitions </w:t>
                            </w:r>
                          </w:p>
                          <w:p w14:paraId="399B34DF" w14:textId="77777777" w:rsidR="00C40B55" w:rsidRPr="00B54BFF" w:rsidRDefault="00C40B55" w:rsidP="000F29CD">
                            <w:r w:rsidRPr="002E72B8">
                              <w:rPr>
                                <w:rStyle w:val="Emphasis"/>
                                <w:b w:val="0"/>
                                <w:bCs w:val="0"/>
                              </w:rPr>
                              <w:t>MDR-TB</w:t>
                            </w:r>
                            <w:r w:rsidRPr="00B54BFF">
                              <w:t xml:space="preserve">: an </w:t>
                            </w:r>
                            <w:r w:rsidRPr="002E72B8">
                              <w:rPr>
                                <w:rStyle w:val="Emphasis"/>
                                <w:b w:val="0"/>
                                <w:bCs w:val="0"/>
                              </w:rPr>
                              <w:t>M. tuberculosis</w:t>
                            </w:r>
                            <w:r w:rsidRPr="00B54BFF">
                              <w:t xml:space="preserve"> strain that is resistant to at least rifampicin and isoniazid. </w:t>
                            </w:r>
                          </w:p>
                          <w:p w14:paraId="1248161F" w14:textId="77777777" w:rsidR="00C40B55" w:rsidRPr="00B54BFF" w:rsidRDefault="00C40B55" w:rsidP="000F29CD">
                            <w:r w:rsidRPr="002E72B8">
                              <w:rPr>
                                <w:rStyle w:val="Emphasis"/>
                                <w:b w:val="0"/>
                                <w:bCs w:val="0"/>
                              </w:rPr>
                              <w:t>MDR/RR-TB</w:t>
                            </w:r>
                            <w:r w:rsidRPr="00B54BFF">
                              <w:t xml:space="preserve">: either multidrug-resistant TB (MDR-TB) or rifampicin-resistant TB (RR-TB). </w:t>
                            </w:r>
                          </w:p>
                          <w:p w14:paraId="72856532" w14:textId="77777777" w:rsidR="00C40B55" w:rsidRPr="00B54BFF" w:rsidRDefault="00C40B55" w:rsidP="000F29CD">
                            <w:r w:rsidRPr="002E72B8">
                              <w:rPr>
                                <w:rStyle w:val="Emphasis"/>
                                <w:b w:val="0"/>
                                <w:bCs w:val="0"/>
                              </w:rPr>
                              <w:t>Pre-XDR-TB</w:t>
                            </w:r>
                            <w:r w:rsidRPr="00B54BFF">
                              <w:t xml:space="preserve">: an </w:t>
                            </w:r>
                            <w:r w:rsidRPr="002E72B8">
                              <w:rPr>
                                <w:rStyle w:val="Emphasis"/>
                                <w:b w:val="0"/>
                                <w:bCs w:val="0"/>
                              </w:rPr>
                              <w:t>M. tuberculosis</w:t>
                            </w:r>
                            <w:r w:rsidRPr="00B54BFF">
                              <w:t xml:space="preserve"> strain that meets the definition of MDR/RR-TB and is also resistant to any fluoroquinolone. </w:t>
                            </w:r>
                          </w:p>
                          <w:p w14:paraId="02882960" w14:textId="77777777" w:rsidR="00C40B55" w:rsidRPr="00B54BFF" w:rsidRDefault="00C40B55" w:rsidP="000F29CD">
                            <w:r w:rsidRPr="002E72B8">
                              <w:rPr>
                                <w:rStyle w:val="Emphasis"/>
                                <w:b w:val="0"/>
                                <w:bCs w:val="0"/>
                              </w:rPr>
                              <w:t>XDR-TB</w:t>
                            </w:r>
                            <w:r w:rsidRPr="00B54BFF">
                              <w:t xml:space="preserve">: an </w:t>
                            </w:r>
                            <w:r w:rsidRPr="002E72B8">
                              <w:rPr>
                                <w:rStyle w:val="Emphasis"/>
                                <w:b w:val="0"/>
                                <w:bCs w:val="0"/>
                              </w:rPr>
                              <w:t>M. tuberculosis</w:t>
                            </w:r>
                            <w:r w:rsidRPr="00B54BFF">
                              <w:t xml:space="preserve"> strain that meets the definition of MDR/RR-TB and is also resistant to any fluoroquinolone* and at least one </w:t>
                            </w:r>
                            <w:proofErr w:type="gramStart"/>
                            <w:r w:rsidRPr="00B54BFF">
                              <w:t>additional</w:t>
                            </w:r>
                            <w:proofErr w:type="gramEnd"/>
                            <w:r w:rsidRPr="00B54BFF">
                              <w:t xml:space="preserve"> Group A drug (Table 1). </w:t>
                            </w:r>
                          </w:p>
                          <w:p w14:paraId="3CA8053E" w14:textId="77777777" w:rsidR="00C40B55" w:rsidRPr="00B54BFF" w:rsidRDefault="00C40B55" w:rsidP="00C40B55">
                            <w:pPr>
                              <w:pStyle w:val="Heading3"/>
                              <w:rPr>
                                <w:rFonts w:eastAsia="Times New Roman"/>
                              </w:rPr>
                            </w:pPr>
                            <w:r w:rsidRPr="00B54BFF">
                              <w:rPr>
                                <w:rFonts w:eastAsia="Times New Roman"/>
                              </w:rPr>
                              <w:t xml:space="preserve">Other resistance definitions </w:t>
                            </w:r>
                          </w:p>
                          <w:p w14:paraId="14DDEC4D" w14:textId="77777777" w:rsidR="00C40B55" w:rsidRPr="00B54BFF" w:rsidRDefault="00C40B55" w:rsidP="000F29CD">
                            <w:r w:rsidRPr="002E72B8">
                              <w:rPr>
                                <w:rStyle w:val="Emphasis"/>
                                <w:b w:val="0"/>
                                <w:bCs w:val="0"/>
                              </w:rPr>
                              <w:t>Mono-resistance</w:t>
                            </w:r>
                            <w:r w:rsidRPr="00B54BFF">
                              <w:t xml:space="preserve">: resistance to one anti-tuberculosis drug. </w:t>
                            </w:r>
                          </w:p>
                          <w:p w14:paraId="20BF091C" w14:textId="77777777" w:rsidR="00C40B55" w:rsidRPr="00B54BFF" w:rsidRDefault="00C40B55" w:rsidP="000F29CD">
                            <w:r w:rsidRPr="002E72B8">
                              <w:rPr>
                                <w:rStyle w:val="Emphasis"/>
                                <w:b w:val="0"/>
                                <w:bCs w:val="0"/>
                              </w:rPr>
                              <w:t>Poly-resistance</w:t>
                            </w:r>
                            <w:r w:rsidRPr="00B54BFF">
                              <w:t xml:space="preserve">: resistance to more than one anti-tuberculosis drug other than both isoniazid and rifampicin. </w:t>
                            </w:r>
                          </w:p>
                          <w:p w14:paraId="5BCD476B" w14:textId="77777777" w:rsidR="00C40B55" w:rsidRPr="00B54BFF" w:rsidRDefault="00C40B55" w:rsidP="00C40B55">
                            <w:pPr>
                              <w:pStyle w:val="Heading3"/>
                              <w:rPr>
                                <w:rFonts w:eastAsia="Times New Roman"/>
                              </w:rPr>
                            </w:pPr>
                            <w:r w:rsidRPr="00B54BFF">
                              <w:rPr>
                                <w:rFonts w:eastAsia="Times New Roman"/>
                              </w:rPr>
                              <w:t>Disease severity definitions</w:t>
                            </w:r>
                            <w:r w:rsidRPr="00B54BFF">
                              <w:rPr>
                                <w:rFonts w:eastAsia="Times New Roman"/>
                                <w:vertAlign w:val="superscript"/>
                              </w:rPr>
                              <w:t>1</w:t>
                            </w:r>
                            <w:r w:rsidRPr="00B54BFF">
                              <w:rPr>
                                <w:rFonts w:eastAsia="Times New Roman"/>
                              </w:rPr>
                              <w:t xml:space="preserve"> </w:t>
                            </w:r>
                          </w:p>
                          <w:p w14:paraId="6D39C250" w14:textId="77777777" w:rsidR="00C40B55" w:rsidRPr="00B54BFF" w:rsidRDefault="00C40B55" w:rsidP="000F29CD">
                            <w:r w:rsidRPr="002E72B8">
                              <w:rPr>
                                <w:rStyle w:val="Emphasis"/>
                                <w:b w:val="0"/>
                                <w:bCs w:val="0"/>
                              </w:rPr>
                              <w:t>Extensive pulmonary TB disease</w:t>
                            </w:r>
                            <w:r w:rsidRPr="00B54BFF">
                              <w:t xml:space="preserve">: bilateral cavitary disease or extensive parenchymal damage on chest radiography. In children aged below 15 years, severe disease </w:t>
                            </w:r>
                            <w:proofErr w:type="gramStart"/>
                            <w:r w:rsidRPr="00B54BFF">
                              <w:t>is usually defined</w:t>
                            </w:r>
                            <w:proofErr w:type="gramEnd"/>
                            <w:r w:rsidRPr="00B54BFF">
                              <w:t xml:space="preserve"> by the presence of cavities or bilateral disease on chest radiography. </w:t>
                            </w:r>
                          </w:p>
                          <w:p w14:paraId="21BC2D00" w14:textId="32CA53CD" w:rsidR="00CA0AEF" w:rsidRDefault="00C40B55" w:rsidP="000F29CD">
                            <w:r w:rsidRPr="002E72B8">
                              <w:rPr>
                                <w:rStyle w:val="Emphasis"/>
                                <w:b w:val="0"/>
                                <w:bCs w:val="0"/>
                              </w:rPr>
                              <w:t>Severe extrapulmonary TB</w:t>
                            </w:r>
                            <w:r w:rsidRPr="00B54BFF">
                              <w:t xml:space="preserve">: miliary TB, TB meningitis, osteoarticular TB or pericardial TB. In children aged below 15 years, extrapulmonary forms of disease other than lymphadenopathy (peripheral nodes or isolated mediastinal mass without compression) </w:t>
                            </w:r>
                            <w:proofErr w:type="gramStart"/>
                            <w:r w:rsidRPr="00B54BFF">
                              <w:t>are considered</w:t>
                            </w:r>
                            <w:proofErr w:type="gramEnd"/>
                            <w:r w:rsidRPr="00B54BFF">
                              <w:t xml:space="preserve"> severe.</w:t>
                            </w:r>
                          </w:p>
                        </w:txbxContent>
                      </wps:txbx>
                      <wps:bodyPr rot="0" vert="horz" wrap="square" lIns="91440" tIns="45720" rIns="91440" bIns="45720" anchor="t" anchorCtr="0">
                        <a:spAutoFit/>
                      </wps:bodyPr>
                    </wps:wsp>
                  </a:graphicData>
                </a:graphic>
              </wp:inline>
            </w:drawing>
          </mc:Choice>
          <mc:Fallback>
            <w:pict>
              <v:shape w14:anchorId="05BEF9C0" id="_x0000_s1027"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" fillcolor="#f7ecdd" stroked="f" strokeweight=".25pt">
                <v:textbox style="mso-fit-shape-to-text:t">
                  <w:txbxContent>
                    <w:p w14:paraId="5EC15308" w14:textId="77777777" w:rsidR="00C40B55" w:rsidRPr="003D6525" w:rsidRDefault="00C40B55" w:rsidP="003D6525">
                      <w:pPr>
                        <w:pStyle w:val="Heading3"/>
                      </w:pPr>
                      <w:r w:rsidRPr="003D6525">
                        <w:t xml:space="preserve">Multi- and extensive drug resistance definitions </w:t>
                      </w:r>
                    </w:p>
                    <w:p w14:paraId="399B34DF" w14:textId="77777777" w:rsidR="00C40B55" w:rsidRPr="00B54BFF" w:rsidRDefault="00C40B55" w:rsidP="000F29CD">
                      <w:r w:rsidRPr="002E72B8">
                        <w:rPr>
                          <w:rStyle w:val="Emphasis"/>
                          <w:b w:val="0"/>
                          <w:bCs w:val="0"/>
                        </w:rPr>
                        <w:t>MDR-TB</w:t>
                      </w:r>
                      <w:r w:rsidRPr="00B54BFF">
                        <w:t xml:space="preserve">: an </w:t>
                      </w:r>
                      <w:r w:rsidRPr="002E72B8">
                        <w:rPr>
                          <w:rStyle w:val="Emphasis"/>
                          <w:b w:val="0"/>
                          <w:bCs w:val="0"/>
                        </w:rPr>
                        <w:t>M. tuberculosis</w:t>
                      </w:r>
                      <w:r w:rsidRPr="00B54BFF">
                        <w:t xml:space="preserve"> strain that is resistant to at least rifampicin and isoniazid. </w:t>
                      </w:r>
                    </w:p>
                    <w:p w14:paraId="1248161F" w14:textId="77777777" w:rsidR="00C40B55" w:rsidRPr="00B54BFF" w:rsidRDefault="00C40B55" w:rsidP="000F29CD">
                      <w:r w:rsidRPr="002E72B8">
                        <w:rPr>
                          <w:rStyle w:val="Emphasis"/>
                          <w:b w:val="0"/>
                          <w:bCs w:val="0"/>
                        </w:rPr>
                        <w:t>MDR/RR-TB</w:t>
                      </w:r>
                      <w:r w:rsidRPr="00B54BFF">
                        <w:t xml:space="preserve">: either multidrug-resistant TB (MDR-TB) or rifampicin-resistant TB (RR-TB). </w:t>
                      </w:r>
                    </w:p>
                    <w:p w14:paraId="72856532" w14:textId="77777777" w:rsidR="00C40B55" w:rsidRPr="00B54BFF" w:rsidRDefault="00C40B55" w:rsidP="000F29CD">
                      <w:r w:rsidRPr="002E72B8">
                        <w:rPr>
                          <w:rStyle w:val="Emphasis"/>
                          <w:b w:val="0"/>
                          <w:bCs w:val="0"/>
                        </w:rPr>
                        <w:t>Pre-XDR-TB</w:t>
                      </w:r>
                      <w:r w:rsidRPr="00B54BFF">
                        <w:t xml:space="preserve">: an </w:t>
                      </w:r>
                      <w:r w:rsidRPr="002E72B8">
                        <w:rPr>
                          <w:rStyle w:val="Emphasis"/>
                          <w:b w:val="0"/>
                          <w:bCs w:val="0"/>
                        </w:rPr>
                        <w:t>M. tuberculosis</w:t>
                      </w:r>
                      <w:r w:rsidRPr="00B54BFF">
                        <w:t xml:space="preserve"> strain that meets the definition of MDR/RR-TB and is also resistant to any fluoroquinolone. </w:t>
                      </w:r>
                    </w:p>
                    <w:p w14:paraId="02882960" w14:textId="77777777" w:rsidR="00C40B55" w:rsidRPr="00B54BFF" w:rsidRDefault="00C40B55" w:rsidP="000F29CD">
                      <w:r w:rsidRPr="002E72B8">
                        <w:rPr>
                          <w:rStyle w:val="Emphasis"/>
                          <w:b w:val="0"/>
                          <w:bCs w:val="0"/>
                        </w:rPr>
                        <w:t>XDR-TB</w:t>
                      </w:r>
                      <w:r w:rsidRPr="00B54BFF">
                        <w:t xml:space="preserve">: an </w:t>
                      </w:r>
                      <w:r w:rsidRPr="002E72B8">
                        <w:rPr>
                          <w:rStyle w:val="Emphasis"/>
                          <w:b w:val="0"/>
                          <w:bCs w:val="0"/>
                        </w:rPr>
                        <w:t>M. tuberculosis</w:t>
                      </w:r>
                      <w:r w:rsidRPr="00B54BFF">
                        <w:t xml:space="preserve"> strain that meets the definition of MDR/RR-TB and is also resistant to any fluoroquinolone* and at least one </w:t>
                      </w:r>
                      <w:proofErr w:type="gramStart"/>
                      <w:r w:rsidRPr="00B54BFF">
                        <w:t>additional</w:t>
                      </w:r>
                      <w:proofErr w:type="gramEnd"/>
                      <w:r w:rsidRPr="00B54BFF">
                        <w:t xml:space="preserve"> Group A drug (Table 1). </w:t>
                      </w:r>
                    </w:p>
                    <w:p w14:paraId="3CA8053E" w14:textId="77777777" w:rsidR="00C40B55" w:rsidRPr="00B54BFF" w:rsidRDefault="00C40B55" w:rsidP="00C40B55">
                      <w:pPr>
                        <w:pStyle w:val="Heading3"/>
                        <w:rPr>
                          <w:rFonts w:eastAsia="Times New Roman"/>
                        </w:rPr>
                      </w:pPr>
                      <w:r w:rsidRPr="00B54BFF">
                        <w:rPr>
                          <w:rFonts w:eastAsia="Times New Roman"/>
                        </w:rPr>
                        <w:t xml:space="preserve">Other resistance definitions </w:t>
                      </w:r>
                    </w:p>
                    <w:p w14:paraId="14DDEC4D" w14:textId="77777777" w:rsidR="00C40B55" w:rsidRPr="00B54BFF" w:rsidRDefault="00C40B55" w:rsidP="000F29CD">
                      <w:r w:rsidRPr="002E72B8">
                        <w:rPr>
                          <w:rStyle w:val="Emphasis"/>
                          <w:b w:val="0"/>
                          <w:bCs w:val="0"/>
                        </w:rPr>
                        <w:t>Mono-resistance</w:t>
                      </w:r>
                      <w:r w:rsidRPr="00B54BFF">
                        <w:t xml:space="preserve">: resistance to one anti-tuberculosis drug. </w:t>
                      </w:r>
                    </w:p>
                    <w:p w14:paraId="20BF091C" w14:textId="77777777" w:rsidR="00C40B55" w:rsidRPr="00B54BFF" w:rsidRDefault="00C40B55" w:rsidP="000F29CD">
                      <w:r w:rsidRPr="002E72B8">
                        <w:rPr>
                          <w:rStyle w:val="Emphasis"/>
                          <w:b w:val="0"/>
                          <w:bCs w:val="0"/>
                        </w:rPr>
                        <w:t>Poly-resistance</w:t>
                      </w:r>
                      <w:r w:rsidRPr="00B54BFF">
                        <w:t xml:space="preserve">: resistance to more than one anti-tuberculosis drug other than both isoniazid and rifampicin. </w:t>
                      </w:r>
                    </w:p>
                    <w:p w14:paraId="5BCD476B" w14:textId="77777777" w:rsidR="00C40B55" w:rsidRPr="00B54BFF" w:rsidRDefault="00C40B55" w:rsidP="00C40B55">
                      <w:pPr>
                        <w:pStyle w:val="Heading3"/>
                        <w:rPr>
                          <w:rFonts w:eastAsia="Times New Roman"/>
                        </w:rPr>
                      </w:pPr>
                      <w:r w:rsidRPr="00B54BFF">
                        <w:rPr>
                          <w:rFonts w:eastAsia="Times New Roman"/>
                        </w:rPr>
                        <w:t>Disease severity definitions</w:t>
                      </w:r>
                      <w:r w:rsidRPr="00B54BFF">
                        <w:rPr>
                          <w:rFonts w:eastAsia="Times New Roman"/>
                          <w:vertAlign w:val="superscript"/>
                        </w:rPr>
                        <w:t>1</w:t>
                      </w:r>
                      <w:r w:rsidRPr="00B54BFF">
                        <w:rPr>
                          <w:rFonts w:eastAsia="Times New Roman"/>
                        </w:rPr>
                        <w:t xml:space="preserve"> </w:t>
                      </w:r>
                    </w:p>
                    <w:p w14:paraId="6D39C250" w14:textId="77777777" w:rsidR="00C40B55" w:rsidRPr="00B54BFF" w:rsidRDefault="00C40B55" w:rsidP="000F29CD">
                      <w:r w:rsidRPr="002E72B8">
                        <w:rPr>
                          <w:rStyle w:val="Emphasis"/>
                          <w:b w:val="0"/>
                          <w:bCs w:val="0"/>
                        </w:rPr>
                        <w:t>Extensive pulmonary TB disease</w:t>
                      </w:r>
                      <w:r w:rsidRPr="00B54BFF">
                        <w:t xml:space="preserve">: bilateral cavitary disease or extensive parenchymal damage on chest radiography. In children aged below 15 years, severe disease </w:t>
                      </w:r>
                      <w:proofErr w:type="gramStart"/>
                      <w:r w:rsidRPr="00B54BFF">
                        <w:t>is usually defined</w:t>
                      </w:r>
                      <w:proofErr w:type="gramEnd"/>
                      <w:r w:rsidRPr="00B54BFF">
                        <w:t xml:space="preserve"> by the presence of cavities or bilateral disease on chest radiography. </w:t>
                      </w:r>
                    </w:p>
                    <w:p w14:paraId="21BC2D00" w14:textId="32CA53CD" w:rsidR="00CA0AEF" w:rsidRDefault="00C40B55" w:rsidP="000F29CD">
                      <w:r w:rsidRPr="002E72B8">
                        <w:rPr>
                          <w:rStyle w:val="Emphasis"/>
                          <w:b w:val="0"/>
                          <w:bCs w:val="0"/>
                        </w:rPr>
                        <w:t>Severe extrapulmonary TB</w:t>
                      </w:r>
                      <w:r w:rsidRPr="00B54BFF">
                        <w:t xml:space="preserve">: miliary TB, TB meningitis, osteoarticular TB or pericardial TB. In children aged below 15 years, extrapulmonary forms of disease other than lymphadenopathy (peripheral nodes or isolated mediastinal mass without compression) </w:t>
                      </w:r>
                      <w:proofErr w:type="gramStart"/>
                      <w:r w:rsidRPr="00B54BFF">
                        <w:t>are considered</w:t>
                      </w:r>
                      <w:proofErr w:type="gramEnd"/>
                      <w:r w:rsidRPr="00B54BFF">
                        <w:t xml:space="preserve"> severe.</w:t>
                      </w:r>
                    </w:p>
                  </w:txbxContent>
                </v:textbox>
                <w10:anchorlock/>
              </v:shape>
            </w:pict>
          </mc:Fallback>
        </mc:AlternateContent>
      </w:r>
    </w:p>
    <w:p w14:paraId="16E7AACB" w14:textId="77777777" w:rsidR="00613B7B" w:rsidRPr="0087487B" w:rsidRDefault="00613B7B">
      <w:pPr>
        <w:rPr>
          <w:rFonts w:asciiTheme="majorHAnsi" w:eastAsia="Times New Roman" w:hAnsiTheme="majorHAnsi" w:cstheme="majorBidi"/>
          <w:b/>
          <w:bCs/>
          <w:sz w:val="26"/>
          <w:szCs w:val="26"/>
        </w:rPr>
      </w:pPr>
      <w:r w:rsidRPr="0087487B">
        <w:rPr>
          <w:rFonts w:eastAsia="Times New Roman"/>
        </w:rPr>
        <w:br w:type="page"/>
      </w:r>
    </w:p>
    <w:p w14:paraId="3F841935" w14:textId="2D46F9BE" w:rsidR="00F605B4" w:rsidRPr="0087487B" w:rsidRDefault="00F605B4">
      <w:pPr>
        <w:pStyle w:val="Heading2"/>
        <w:divId w:val="448665177"/>
        <w:rPr>
          <w:rFonts w:eastAsia="Times New Roman"/>
        </w:rPr>
      </w:pPr>
      <w:r w:rsidRPr="0087487B">
        <w:rPr>
          <w:rFonts w:eastAsia="Times New Roman"/>
        </w:rPr>
        <w:lastRenderedPageBreak/>
        <w:t xml:space="preserve">DR-TB epidemiology </w:t>
      </w:r>
    </w:p>
    <w:p w14:paraId="49C7EA35" w14:textId="77777777" w:rsidR="00F605B4" w:rsidRPr="0087487B" w:rsidRDefault="00F605B4" w:rsidP="00DB46AB">
      <w:pPr>
        <w:divId w:val="448665177"/>
      </w:pPr>
      <w:r w:rsidRPr="0087487B">
        <w:t xml:space="preserve">An understanding of the status of drug resistance in other countries can assist in the design of an effective regimen when rifampicin-resistance has been detected by a molecular </w:t>
      </w:r>
      <w:proofErr w:type="gramStart"/>
      <w:r w:rsidRPr="0087487B">
        <w:t>test</w:t>
      </w:r>
      <w:proofErr w:type="gramEnd"/>
      <w:r w:rsidRPr="0087487B">
        <w:t xml:space="preserve"> but other genotypic and phenotypic DST results are not yet available. </w:t>
      </w:r>
    </w:p>
    <w:p w14:paraId="1570D8EF" w14:textId="77777777" w:rsidR="00F605B4" w:rsidRPr="0087487B" w:rsidRDefault="00F605B4" w:rsidP="00DB46AB">
      <w:pPr>
        <w:divId w:val="448665177"/>
      </w:pPr>
      <w:r w:rsidRPr="0087487B">
        <w:t>Globally in 2021, there were an estimated 450,000 MDR/RR-TB cases (95% uncertainty interval [95% UI]: 399,000–501,000). The estimated proportion occurring in new cases was 3.6% (95% UI: 2.7–4.4%) and in previously treated cases 18% (95% UI: 11–26%). In several countries of the former Soviet Union, the proportions have been greater than 20% in new cases and 50% in previously treated cases.</w:t>
      </w:r>
      <w:r w:rsidRPr="0087487B">
        <w:rPr>
          <w:vertAlign w:val="superscript"/>
        </w:rPr>
        <w:t>16,</w:t>
      </w:r>
      <w:proofErr w:type="gramStart"/>
      <w:r w:rsidRPr="0087487B">
        <w:rPr>
          <w:vertAlign w:val="superscript"/>
        </w:rPr>
        <w:t>17</w:t>
      </w:r>
      <w:proofErr w:type="gramEnd"/>
      <w:r w:rsidRPr="0087487B">
        <w:rPr>
          <w:vertAlign w:val="superscript"/>
        </w:rPr>
        <w:t xml:space="preserve"> </w:t>
      </w:r>
    </w:p>
    <w:p w14:paraId="253F0EF6" w14:textId="77777777" w:rsidR="00F605B4" w:rsidRPr="0087487B" w:rsidRDefault="00F605B4" w:rsidP="00DB46AB">
      <w:pPr>
        <w:divId w:val="448665177"/>
      </w:pPr>
      <w:r w:rsidRPr="0087487B">
        <w:t xml:space="preserve">The number of incident cases of MDR/RR-TB reported globally in 2021 was 167,000 (including 25,000 pre-XDR or XDR-TB cases), </w:t>
      </w:r>
      <w:proofErr w:type="gramStart"/>
      <w:r w:rsidRPr="0087487B">
        <w:t>representing</w:t>
      </w:r>
      <w:proofErr w:type="gramEnd"/>
      <w:r w:rsidRPr="0087487B">
        <w:t xml:space="preserve"> 37% of the estimated burden. In the Western Pacific region there were 28,700 laboratory confirmed cases of MDR/RR-TB, </w:t>
      </w:r>
      <w:proofErr w:type="gramStart"/>
      <w:r w:rsidRPr="0087487B">
        <w:t>representing</w:t>
      </w:r>
      <w:proofErr w:type="gramEnd"/>
      <w:r w:rsidRPr="0087487B">
        <w:t xml:space="preserve"> 41% of the estimated burden of 70,000 (95% CI: 55,000–85,000). The countries with the largest share of cases were India (26%), the Russian Federation (8.5%), and Pakistan (7.9%). India, the country with the highest number of estimated and reported MDR/RR-TB cases, detected pre-XDR/XDR-TB in 18.5% of confirmed MDR/RR-TB cases.</w:t>
      </w:r>
      <w:r w:rsidRPr="0087487B">
        <w:rPr>
          <w:vertAlign w:val="superscript"/>
        </w:rPr>
        <w:t xml:space="preserve">16 </w:t>
      </w:r>
    </w:p>
    <w:p w14:paraId="7F2DA770" w14:textId="77777777" w:rsidR="00F605B4" w:rsidRPr="0087487B" w:rsidRDefault="00F605B4" w:rsidP="00DB46AB">
      <w:pPr>
        <w:divId w:val="448665177"/>
      </w:pPr>
      <w:r w:rsidRPr="0087487B">
        <w:t>Representative drug resistance surveillance data collected over the fifteen years prior to the 2020 WHO Global Report found that the proportion of MDR/RR-TB cases with resistance to any fluoroquinolone was 20.1% (95% CI: 15.5–25.0%).</w:t>
      </w:r>
      <w:r w:rsidRPr="0087487B">
        <w:rPr>
          <w:vertAlign w:val="superscript"/>
        </w:rPr>
        <w:t>17</w:t>
      </w:r>
      <w:r w:rsidRPr="0087487B">
        <w:t xml:space="preserve"> In 2021, the estimated proportion globally of MDR/RR-TB cases with laboratory detected resistance to a fluoroquinolone was 20% (95% CI: 16–26%).Estimates of isoniazid resistance in 2019 were 13.1% (95% CI: 9.9–16.9%) of new cases and 17.4% (95% CI: 0.5–54%) of previously treated cases. </w:t>
      </w:r>
      <w:proofErr w:type="gramStart"/>
      <w:r w:rsidRPr="0087487B">
        <w:t>Overall</w:t>
      </w:r>
      <w:proofErr w:type="gramEnd"/>
      <w:r w:rsidRPr="0087487B">
        <w:t xml:space="preserve"> 11% (range: 6.5–15%) of all incident cases of TB had isoniazid-resistant and rifampicin-susceptible TB.</w:t>
      </w:r>
      <w:r w:rsidRPr="0087487B">
        <w:rPr>
          <w:vertAlign w:val="superscript"/>
        </w:rPr>
        <w:t xml:space="preserve">17 </w:t>
      </w:r>
    </w:p>
    <w:p w14:paraId="157D7D1C" w14:textId="77777777" w:rsidR="00F605B4" w:rsidRPr="0087487B" w:rsidRDefault="00F605B4" w:rsidP="00DB46AB">
      <w:pPr>
        <w:divId w:val="448665177"/>
      </w:pPr>
      <w:r w:rsidRPr="0087487B">
        <w:t>In Australia, the number of cases notified with DR-TB is low; such cases most commonly occur in overseas-born people. The notification data for drug resistance profiles from 2019–2022 are summarised in Table 2 below.</w:t>
      </w:r>
      <w:r w:rsidRPr="0087487B">
        <w:rPr>
          <w:vertAlign w:val="superscript"/>
        </w:rPr>
        <w:t xml:space="preserve">18 </w:t>
      </w:r>
    </w:p>
    <w:p w14:paraId="760C00AC" w14:textId="77777777" w:rsidR="00B95902" w:rsidRPr="0087487B" w:rsidRDefault="00B95902" w:rsidP="00B95902">
      <w:pPr>
        <w:pStyle w:val="NormalWeb"/>
        <w:divId w:val="448665177"/>
      </w:pPr>
      <w:bookmarkStart w:id="0" w:name="_Hlk147935582"/>
      <w:r w:rsidRPr="0087487B">
        <w:rPr>
          <w:rStyle w:val="Strong"/>
        </w:rPr>
        <w:t>Table 2: Drug resistance profiles among TB cases with DST results available, Australia, 2019–2022</w:t>
      </w:r>
      <w:bookmarkEnd w:id="0"/>
    </w:p>
    <w:tbl>
      <w:tblPr>
        <w:tblStyle w:val="CDI-StandardTable"/>
        <w:tblW w:w="0" w:type="auto"/>
        <w:tblCellMar>
          <w:top w:w="113" w:type="dxa"/>
          <w:bottom w:w="113" w:type="dxa"/>
        </w:tblCellMar>
        <w:tblLook w:val="04A0" w:firstRow="1" w:lastRow="0" w:firstColumn="1" w:lastColumn="0" w:noHBand="0" w:noVBand="1"/>
        <w:tblDescription w:val="Table 2 provides a summary of drug resistance profiles among TB cases within Australia for each of the years 2019–2022, with categories of resistance to any first-line anti-TB drug, mono-resistance to rifampicin, mono-resistance to isoniazid, multi-drug-resistant (MDR)-TB, pre-extensively-drug-resistant (pre-XDR)-TB, and XDR-TB."/>
      </w:tblPr>
      <w:tblGrid>
        <w:gridCol w:w="3119"/>
        <w:gridCol w:w="1984"/>
        <w:gridCol w:w="1701"/>
        <w:gridCol w:w="1560"/>
        <w:gridCol w:w="2076"/>
      </w:tblGrid>
      <w:tr w:rsidR="00B95902" w:rsidRPr="0087487B" w14:paraId="769828E8" w14:textId="77777777" w:rsidTr="00622EBB">
        <w:trPr>
          <w:cnfStyle w:val="100000000000" w:firstRow="1" w:lastRow="0" w:firstColumn="0" w:lastColumn="0" w:oddVBand="0" w:evenVBand="0" w:oddHBand="0" w:evenHBand="0" w:firstRowFirstColumn="0" w:firstRowLastColumn="0" w:lastRowFirstColumn="0" w:lastRowLastColumn="0"/>
          <w:divId w:val="448665177"/>
        </w:trPr>
        <w:tc>
          <w:tcPr>
            <w:tcW w:w="3119" w:type="dxa"/>
            <w:hideMark/>
          </w:tcPr>
          <w:p w14:paraId="4582CA82" w14:textId="77777777" w:rsidR="00B95902" w:rsidRPr="0087487B" w:rsidRDefault="00B95902" w:rsidP="00314B37">
            <w:pPr>
              <w:pStyle w:val="NormalWeb"/>
              <w:jc w:val="left"/>
              <w:rPr>
                <w:sz w:val="18"/>
                <w:szCs w:val="18"/>
              </w:rPr>
            </w:pPr>
            <w:r w:rsidRPr="0087487B">
              <w:rPr>
                <w:sz w:val="18"/>
                <w:szCs w:val="18"/>
              </w:rPr>
              <w:t>Resistance</w:t>
            </w:r>
          </w:p>
        </w:tc>
        <w:tc>
          <w:tcPr>
            <w:tcW w:w="1984" w:type="dxa"/>
            <w:hideMark/>
          </w:tcPr>
          <w:p w14:paraId="459FB92A" w14:textId="77777777" w:rsidR="00B95902" w:rsidRPr="0087487B" w:rsidRDefault="00B95902" w:rsidP="00314B37">
            <w:pPr>
              <w:pStyle w:val="NormalWeb"/>
              <w:rPr>
                <w:sz w:val="18"/>
                <w:szCs w:val="18"/>
              </w:rPr>
            </w:pPr>
            <w:r w:rsidRPr="0087487B">
              <w:rPr>
                <w:sz w:val="18"/>
                <w:szCs w:val="18"/>
              </w:rPr>
              <w:t>2019 (1,123 cases)</w:t>
            </w:r>
          </w:p>
        </w:tc>
        <w:tc>
          <w:tcPr>
            <w:tcW w:w="1701" w:type="dxa"/>
            <w:hideMark/>
          </w:tcPr>
          <w:p w14:paraId="1B8F553B" w14:textId="77777777" w:rsidR="00B95902" w:rsidRPr="0087487B" w:rsidRDefault="00B95902" w:rsidP="00314B37">
            <w:pPr>
              <w:pStyle w:val="NormalWeb"/>
              <w:rPr>
                <w:sz w:val="18"/>
                <w:szCs w:val="18"/>
              </w:rPr>
            </w:pPr>
            <w:r w:rsidRPr="0087487B">
              <w:rPr>
                <w:sz w:val="18"/>
                <w:szCs w:val="18"/>
              </w:rPr>
              <w:t>2020 (1,118 cases)</w:t>
            </w:r>
          </w:p>
        </w:tc>
        <w:tc>
          <w:tcPr>
            <w:tcW w:w="1560" w:type="dxa"/>
            <w:hideMark/>
          </w:tcPr>
          <w:p w14:paraId="64C56B28" w14:textId="77777777" w:rsidR="00B95902" w:rsidRPr="0087487B" w:rsidRDefault="00B95902" w:rsidP="00314B37">
            <w:pPr>
              <w:pStyle w:val="NormalWeb"/>
              <w:rPr>
                <w:sz w:val="18"/>
                <w:szCs w:val="18"/>
              </w:rPr>
            </w:pPr>
            <w:r w:rsidRPr="0087487B">
              <w:rPr>
                <w:sz w:val="18"/>
                <w:szCs w:val="18"/>
              </w:rPr>
              <w:t>2021 (968 cases)</w:t>
            </w:r>
          </w:p>
        </w:tc>
        <w:tc>
          <w:tcPr>
            <w:tcW w:w="2076" w:type="dxa"/>
            <w:hideMark/>
          </w:tcPr>
          <w:p w14:paraId="04ACDC9D" w14:textId="77777777" w:rsidR="00B95902" w:rsidRPr="0087487B" w:rsidRDefault="00B95902" w:rsidP="00314B37">
            <w:pPr>
              <w:pStyle w:val="NormalWeb"/>
              <w:rPr>
                <w:sz w:val="18"/>
                <w:szCs w:val="18"/>
              </w:rPr>
            </w:pPr>
            <w:r w:rsidRPr="0087487B">
              <w:rPr>
                <w:sz w:val="18"/>
                <w:szCs w:val="18"/>
              </w:rPr>
              <w:t>2022 (907 cases)</w:t>
            </w:r>
          </w:p>
        </w:tc>
      </w:tr>
      <w:tr w:rsidR="00B95902" w:rsidRPr="0087487B" w14:paraId="35E1EEB8" w14:textId="77777777" w:rsidTr="00622EBB">
        <w:trPr>
          <w:divId w:val="448665177"/>
        </w:trPr>
        <w:tc>
          <w:tcPr>
            <w:tcW w:w="3119" w:type="dxa"/>
            <w:hideMark/>
          </w:tcPr>
          <w:p w14:paraId="46663D20" w14:textId="75A3DBC7" w:rsidR="00B95902" w:rsidRPr="0087487B" w:rsidRDefault="00B95902" w:rsidP="00314B37">
            <w:pPr>
              <w:pStyle w:val="NormalWeb"/>
              <w:jc w:val="left"/>
              <w:rPr>
                <w:sz w:val="18"/>
                <w:szCs w:val="18"/>
              </w:rPr>
            </w:pPr>
            <w:proofErr w:type="gramStart"/>
            <w:r w:rsidRPr="0087487B">
              <w:rPr>
                <w:sz w:val="18"/>
                <w:szCs w:val="18"/>
              </w:rPr>
              <w:t>Any first</w:t>
            </w:r>
            <w:proofErr w:type="gramEnd"/>
            <w:r w:rsidRPr="0087487B">
              <w:rPr>
                <w:sz w:val="18"/>
                <w:szCs w:val="18"/>
              </w:rPr>
              <w:t>-line anti-TB drug</w:t>
            </w:r>
            <w:r w:rsidR="00C74D36">
              <w:rPr>
                <w:sz w:val="18"/>
                <w:szCs w:val="18"/>
              </w:rPr>
              <w:t xml:space="preserve"> </w:t>
            </w:r>
            <w:r w:rsidRPr="0087487B">
              <w:rPr>
                <w:sz w:val="18"/>
                <w:szCs w:val="18"/>
                <w:vertAlign w:val="superscript"/>
              </w:rPr>
              <w:t>a</w:t>
            </w:r>
          </w:p>
        </w:tc>
        <w:tc>
          <w:tcPr>
            <w:tcW w:w="1984" w:type="dxa"/>
            <w:hideMark/>
          </w:tcPr>
          <w:p w14:paraId="5B43BD61" w14:textId="77777777" w:rsidR="00B95902" w:rsidRPr="0087487B" w:rsidRDefault="00B95902" w:rsidP="00314B37">
            <w:pPr>
              <w:pStyle w:val="NormalWeb"/>
              <w:rPr>
                <w:sz w:val="18"/>
                <w:szCs w:val="18"/>
              </w:rPr>
            </w:pPr>
            <w:r w:rsidRPr="0087487B">
              <w:rPr>
                <w:sz w:val="18"/>
                <w:szCs w:val="18"/>
              </w:rPr>
              <w:t>11.1% (125)</w:t>
            </w:r>
          </w:p>
        </w:tc>
        <w:tc>
          <w:tcPr>
            <w:tcW w:w="1701" w:type="dxa"/>
            <w:hideMark/>
          </w:tcPr>
          <w:p w14:paraId="50C51A63" w14:textId="77777777" w:rsidR="00B95902" w:rsidRPr="0087487B" w:rsidRDefault="00B95902" w:rsidP="00314B37">
            <w:pPr>
              <w:pStyle w:val="NormalWeb"/>
              <w:rPr>
                <w:sz w:val="18"/>
                <w:szCs w:val="18"/>
              </w:rPr>
            </w:pPr>
            <w:r w:rsidRPr="0087487B">
              <w:rPr>
                <w:sz w:val="18"/>
                <w:szCs w:val="18"/>
              </w:rPr>
              <w:t>11.1% (124)</w:t>
            </w:r>
          </w:p>
        </w:tc>
        <w:tc>
          <w:tcPr>
            <w:tcW w:w="1560" w:type="dxa"/>
            <w:hideMark/>
          </w:tcPr>
          <w:p w14:paraId="3492343D" w14:textId="77777777" w:rsidR="00B95902" w:rsidRPr="0087487B" w:rsidRDefault="00B95902" w:rsidP="00314B37">
            <w:pPr>
              <w:pStyle w:val="NormalWeb"/>
              <w:rPr>
                <w:sz w:val="18"/>
                <w:szCs w:val="18"/>
              </w:rPr>
            </w:pPr>
            <w:r w:rsidRPr="0087487B">
              <w:rPr>
                <w:sz w:val="18"/>
                <w:szCs w:val="18"/>
              </w:rPr>
              <w:t>11.3% (109)</w:t>
            </w:r>
          </w:p>
        </w:tc>
        <w:tc>
          <w:tcPr>
            <w:tcW w:w="2076" w:type="dxa"/>
            <w:hideMark/>
          </w:tcPr>
          <w:p w14:paraId="67EACDB1" w14:textId="77777777" w:rsidR="00B95902" w:rsidRPr="0087487B" w:rsidRDefault="00B95902" w:rsidP="00314B37">
            <w:pPr>
              <w:pStyle w:val="NormalWeb"/>
              <w:rPr>
                <w:sz w:val="18"/>
                <w:szCs w:val="18"/>
              </w:rPr>
            </w:pPr>
            <w:r w:rsidRPr="0087487B">
              <w:rPr>
                <w:sz w:val="18"/>
                <w:szCs w:val="18"/>
              </w:rPr>
              <w:t>12.2% (111)</w:t>
            </w:r>
          </w:p>
        </w:tc>
      </w:tr>
      <w:tr w:rsidR="00B95902" w:rsidRPr="0087487B" w14:paraId="665AA93E" w14:textId="77777777" w:rsidTr="00622EBB">
        <w:trPr>
          <w:cnfStyle w:val="000000010000" w:firstRow="0" w:lastRow="0" w:firstColumn="0" w:lastColumn="0" w:oddVBand="0" w:evenVBand="0" w:oddHBand="0" w:evenHBand="1" w:firstRowFirstColumn="0" w:firstRowLastColumn="0" w:lastRowFirstColumn="0" w:lastRowLastColumn="0"/>
          <w:divId w:val="448665177"/>
        </w:trPr>
        <w:tc>
          <w:tcPr>
            <w:tcW w:w="3119" w:type="dxa"/>
            <w:hideMark/>
          </w:tcPr>
          <w:p w14:paraId="378FE681" w14:textId="77777777" w:rsidR="00B95902" w:rsidRPr="0087487B" w:rsidRDefault="00B95902" w:rsidP="00314B37">
            <w:pPr>
              <w:pStyle w:val="NormalWeb"/>
              <w:jc w:val="left"/>
              <w:rPr>
                <w:sz w:val="18"/>
                <w:szCs w:val="18"/>
              </w:rPr>
            </w:pPr>
            <w:r w:rsidRPr="0087487B">
              <w:rPr>
                <w:sz w:val="18"/>
                <w:szCs w:val="18"/>
              </w:rPr>
              <w:t>Mono-resistance to rifampicin</w:t>
            </w:r>
          </w:p>
        </w:tc>
        <w:tc>
          <w:tcPr>
            <w:tcW w:w="1984" w:type="dxa"/>
            <w:hideMark/>
          </w:tcPr>
          <w:p w14:paraId="268ABEA7" w14:textId="77777777" w:rsidR="00B95902" w:rsidRPr="0087487B" w:rsidRDefault="00B95902" w:rsidP="00314B37">
            <w:pPr>
              <w:pStyle w:val="NormalWeb"/>
              <w:rPr>
                <w:sz w:val="18"/>
                <w:szCs w:val="18"/>
              </w:rPr>
            </w:pPr>
            <w:r w:rsidRPr="0087487B">
              <w:rPr>
                <w:sz w:val="18"/>
                <w:szCs w:val="18"/>
              </w:rPr>
              <w:t>0.3% (3)</w:t>
            </w:r>
          </w:p>
        </w:tc>
        <w:tc>
          <w:tcPr>
            <w:tcW w:w="1701" w:type="dxa"/>
            <w:hideMark/>
          </w:tcPr>
          <w:p w14:paraId="33C0D3B3" w14:textId="77777777" w:rsidR="00B95902" w:rsidRPr="0087487B" w:rsidRDefault="00B95902" w:rsidP="00314B37">
            <w:pPr>
              <w:pStyle w:val="NormalWeb"/>
              <w:rPr>
                <w:sz w:val="18"/>
                <w:szCs w:val="18"/>
              </w:rPr>
            </w:pPr>
            <w:r w:rsidRPr="0087487B">
              <w:rPr>
                <w:sz w:val="18"/>
                <w:szCs w:val="18"/>
              </w:rPr>
              <w:t>0.4% (5)</w:t>
            </w:r>
          </w:p>
        </w:tc>
        <w:tc>
          <w:tcPr>
            <w:tcW w:w="1560" w:type="dxa"/>
            <w:hideMark/>
          </w:tcPr>
          <w:p w14:paraId="07865B5D" w14:textId="77777777" w:rsidR="00B95902" w:rsidRPr="0087487B" w:rsidRDefault="00B95902" w:rsidP="00314B37">
            <w:pPr>
              <w:pStyle w:val="NormalWeb"/>
              <w:rPr>
                <w:sz w:val="18"/>
                <w:szCs w:val="18"/>
              </w:rPr>
            </w:pPr>
            <w:r w:rsidRPr="0087487B">
              <w:rPr>
                <w:sz w:val="18"/>
                <w:szCs w:val="18"/>
              </w:rPr>
              <w:t>0.2% (2)</w:t>
            </w:r>
          </w:p>
        </w:tc>
        <w:tc>
          <w:tcPr>
            <w:tcW w:w="2076" w:type="dxa"/>
            <w:hideMark/>
          </w:tcPr>
          <w:p w14:paraId="486BB063" w14:textId="77777777" w:rsidR="00B95902" w:rsidRPr="0087487B" w:rsidRDefault="00B95902" w:rsidP="00314B37">
            <w:pPr>
              <w:pStyle w:val="NormalWeb"/>
              <w:rPr>
                <w:sz w:val="18"/>
                <w:szCs w:val="18"/>
              </w:rPr>
            </w:pPr>
            <w:r w:rsidRPr="0087487B">
              <w:rPr>
                <w:sz w:val="18"/>
                <w:szCs w:val="18"/>
              </w:rPr>
              <w:t>0.2% (2)</w:t>
            </w:r>
          </w:p>
        </w:tc>
      </w:tr>
      <w:tr w:rsidR="00B95902" w:rsidRPr="0087487B" w14:paraId="0EC096D4" w14:textId="77777777" w:rsidTr="00622EBB">
        <w:trPr>
          <w:divId w:val="448665177"/>
        </w:trPr>
        <w:tc>
          <w:tcPr>
            <w:tcW w:w="3119" w:type="dxa"/>
            <w:hideMark/>
          </w:tcPr>
          <w:p w14:paraId="3F1BA337" w14:textId="77777777" w:rsidR="00B95902" w:rsidRPr="0087487B" w:rsidRDefault="00B95902" w:rsidP="00314B37">
            <w:pPr>
              <w:pStyle w:val="NormalWeb"/>
              <w:jc w:val="left"/>
              <w:rPr>
                <w:sz w:val="18"/>
                <w:szCs w:val="18"/>
              </w:rPr>
            </w:pPr>
            <w:r w:rsidRPr="0087487B">
              <w:rPr>
                <w:sz w:val="18"/>
                <w:szCs w:val="18"/>
              </w:rPr>
              <w:t>Mono-resistance to isoniazid</w:t>
            </w:r>
          </w:p>
        </w:tc>
        <w:tc>
          <w:tcPr>
            <w:tcW w:w="1984" w:type="dxa"/>
            <w:hideMark/>
          </w:tcPr>
          <w:p w14:paraId="225139D7" w14:textId="77777777" w:rsidR="00B95902" w:rsidRPr="0087487B" w:rsidRDefault="00B95902" w:rsidP="00314B37">
            <w:pPr>
              <w:pStyle w:val="NormalWeb"/>
              <w:rPr>
                <w:sz w:val="18"/>
                <w:szCs w:val="18"/>
              </w:rPr>
            </w:pPr>
            <w:r w:rsidRPr="0087487B">
              <w:rPr>
                <w:sz w:val="18"/>
                <w:szCs w:val="18"/>
              </w:rPr>
              <w:t>5.2% (58)</w:t>
            </w:r>
          </w:p>
        </w:tc>
        <w:tc>
          <w:tcPr>
            <w:tcW w:w="1701" w:type="dxa"/>
            <w:hideMark/>
          </w:tcPr>
          <w:p w14:paraId="2124C42D" w14:textId="77777777" w:rsidR="00B95902" w:rsidRPr="0087487B" w:rsidRDefault="00B95902" w:rsidP="00314B37">
            <w:pPr>
              <w:pStyle w:val="NormalWeb"/>
              <w:rPr>
                <w:sz w:val="18"/>
                <w:szCs w:val="18"/>
              </w:rPr>
            </w:pPr>
            <w:r w:rsidRPr="0087487B">
              <w:rPr>
                <w:sz w:val="18"/>
                <w:szCs w:val="18"/>
              </w:rPr>
              <w:t>4.3% (48)</w:t>
            </w:r>
          </w:p>
        </w:tc>
        <w:tc>
          <w:tcPr>
            <w:tcW w:w="1560" w:type="dxa"/>
            <w:hideMark/>
          </w:tcPr>
          <w:p w14:paraId="1A86A860" w14:textId="77777777" w:rsidR="00B95902" w:rsidRPr="0087487B" w:rsidRDefault="00B95902" w:rsidP="00314B37">
            <w:pPr>
              <w:pStyle w:val="NormalWeb"/>
              <w:rPr>
                <w:sz w:val="18"/>
                <w:szCs w:val="18"/>
              </w:rPr>
            </w:pPr>
            <w:r w:rsidRPr="0087487B">
              <w:rPr>
                <w:sz w:val="18"/>
                <w:szCs w:val="18"/>
              </w:rPr>
              <w:t>5.2% (50)</w:t>
            </w:r>
          </w:p>
        </w:tc>
        <w:tc>
          <w:tcPr>
            <w:tcW w:w="2076" w:type="dxa"/>
            <w:hideMark/>
          </w:tcPr>
          <w:p w14:paraId="3AF61CEE" w14:textId="77777777" w:rsidR="00B95902" w:rsidRPr="0087487B" w:rsidRDefault="00B95902" w:rsidP="00314B37">
            <w:pPr>
              <w:pStyle w:val="NormalWeb"/>
              <w:rPr>
                <w:sz w:val="18"/>
                <w:szCs w:val="18"/>
              </w:rPr>
            </w:pPr>
            <w:r w:rsidRPr="0087487B">
              <w:rPr>
                <w:sz w:val="18"/>
                <w:szCs w:val="18"/>
              </w:rPr>
              <w:t>5.6% (51)</w:t>
            </w:r>
          </w:p>
        </w:tc>
      </w:tr>
      <w:tr w:rsidR="00B95902" w:rsidRPr="0087487B" w14:paraId="28549B40" w14:textId="77777777" w:rsidTr="00622EBB">
        <w:trPr>
          <w:cnfStyle w:val="000000010000" w:firstRow="0" w:lastRow="0" w:firstColumn="0" w:lastColumn="0" w:oddVBand="0" w:evenVBand="0" w:oddHBand="0" w:evenHBand="1" w:firstRowFirstColumn="0" w:firstRowLastColumn="0" w:lastRowFirstColumn="0" w:lastRowLastColumn="0"/>
          <w:divId w:val="448665177"/>
        </w:trPr>
        <w:tc>
          <w:tcPr>
            <w:tcW w:w="3119" w:type="dxa"/>
            <w:hideMark/>
          </w:tcPr>
          <w:p w14:paraId="0D66F79E" w14:textId="77777777" w:rsidR="00B95902" w:rsidRPr="0087487B" w:rsidRDefault="00B95902" w:rsidP="00314B37">
            <w:pPr>
              <w:pStyle w:val="NormalWeb"/>
              <w:jc w:val="left"/>
              <w:rPr>
                <w:sz w:val="18"/>
                <w:szCs w:val="18"/>
              </w:rPr>
            </w:pPr>
            <w:r w:rsidRPr="0087487B">
              <w:rPr>
                <w:sz w:val="18"/>
                <w:szCs w:val="18"/>
              </w:rPr>
              <w:t>MDR-TB</w:t>
            </w:r>
          </w:p>
        </w:tc>
        <w:tc>
          <w:tcPr>
            <w:tcW w:w="1984" w:type="dxa"/>
            <w:hideMark/>
          </w:tcPr>
          <w:p w14:paraId="42362F81" w14:textId="77777777" w:rsidR="00B95902" w:rsidRPr="0087487B" w:rsidRDefault="00B95902" w:rsidP="00314B37">
            <w:pPr>
              <w:pStyle w:val="NormalWeb"/>
              <w:rPr>
                <w:sz w:val="18"/>
                <w:szCs w:val="18"/>
              </w:rPr>
            </w:pPr>
            <w:r w:rsidRPr="0087487B">
              <w:rPr>
                <w:sz w:val="18"/>
                <w:szCs w:val="18"/>
              </w:rPr>
              <w:t>2.2% (25)</w:t>
            </w:r>
          </w:p>
        </w:tc>
        <w:tc>
          <w:tcPr>
            <w:tcW w:w="1701" w:type="dxa"/>
            <w:hideMark/>
          </w:tcPr>
          <w:p w14:paraId="33C9502A" w14:textId="77777777" w:rsidR="00B95902" w:rsidRPr="0087487B" w:rsidRDefault="00B95902" w:rsidP="00314B37">
            <w:pPr>
              <w:pStyle w:val="NormalWeb"/>
              <w:rPr>
                <w:sz w:val="18"/>
                <w:szCs w:val="18"/>
              </w:rPr>
            </w:pPr>
            <w:r w:rsidRPr="0087487B">
              <w:rPr>
                <w:sz w:val="18"/>
                <w:szCs w:val="18"/>
              </w:rPr>
              <w:t>2.1% (23)</w:t>
            </w:r>
          </w:p>
        </w:tc>
        <w:tc>
          <w:tcPr>
            <w:tcW w:w="1560" w:type="dxa"/>
            <w:hideMark/>
          </w:tcPr>
          <w:p w14:paraId="4D152F1A" w14:textId="77777777" w:rsidR="00B95902" w:rsidRPr="0087487B" w:rsidRDefault="00B95902" w:rsidP="00314B37">
            <w:pPr>
              <w:pStyle w:val="NormalWeb"/>
              <w:rPr>
                <w:sz w:val="18"/>
                <w:szCs w:val="18"/>
              </w:rPr>
            </w:pPr>
            <w:r w:rsidRPr="0087487B">
              <w:rPr>
                <w:sz w:val="18"/>
                <w:szCs w:val="18"/>
              </w:rPr>
              <w:t>2.2% (21)</w:t>
            </w:r>
          </w:p>
        </w:tc>
        <w:tc>
          <w:tcPr>
            <w:tcW w:w="2076" w:type="dxa"/>
            <w:hideMark/>
          </w:tcPr>
          <w:p w14:paraId="40BCDC1A" w14:textId="77777777" w:rsidR="00B95902" w:rsidRPr="0087487B" w:rsidRDefault="00B95902" w:rsidP="00314B37">
            <w:pPr>
              <w:pStyle w:val="NormalWeb"/>
              <w:rPr>
                <w:sz w:val="18"/>
                <w:szCs w:val="18"/>
              </w:rPr>
            </w:pPr>
            <w:r w:rsidRPr="0087487B">
              <w:rPr>
                <w:sz w:val="18"/>
                <w:szCs w:val="18"/>
              </w:rPr>
              <w:t>1.9% (17)</w:t>
            </w:r>
          </w:p>
        </w:tc>
      </w:tr>
      <w:tr w:rsidR="00B95902" w:rsidRPr="0087487B" w14:paraId="2CD77152" w14:textId="77777777" w:rsidTr="00622EBB">
        <w:trPr>
          <w:divId w:val="448665177"/>
        </w:trPr>
        <w:tc>
          <w:tcPr>
            <w:tcW w:w="3119" w:type="dxa"/>
            <w:hideMark/>
          </w:tcPr>
          <w:p w14:paraId="50D4BCDE" w14:textId="2A334566" w:rsidR="00B95902" w:rsidRPr="0087487B" w:rsidRDefault="00B95902" w:rsidP="00314B37">
            <w:pPr>
              <w:pStyle w:val="NormalWeb"/>
              <w:jc w:val="left"/>
              <w:rPr>
                <w:sz w:val="18"/>
                <w:szCs w:val="18"/>
              </w:rPr>
            </w:pPr>
            <w:r w:rsidRPr="0087487B">
              <w:rPr>
                <w:sz w:val="18"/>
                <w:szCs w:val="18"/>
              </w:rPr>
              <w:t>Pre-XDR-TB</w:t>
            </w:r>
            <w:r w:rsidR="00C74D36">
              <w:rPr>
                <w:sz w:val="18"/>
                <w:szCs w:val="18"/>
              </w:rPr>
              <w:t xml:space="preserve"> </w:t>
            </w:r>
            <w:r w:rsidRPr="0087487B">
              <w:rPr>
                <w:sz w:val="18"/>
                <w:szCs w:val="18"/>
                <w:vertAlign w:val="superscript"/>
              </w:rPr>
              <w:t>b</w:t>
            </w:r>
          </w:p>
        </w:tc>
        <w:tc>
          <w:tcPr>
            <w:tcW w:w="1984" w:type="dxa"/>
            <w:hideMark/>
          </w:tcPr>
          <w:p w14:paraId="0C5E6998" w14:textId="77777777" w:rsidR="00B95902" w:rsidRPr="0087487B" w:rsidRDefault="00B95902" w:rsidP="00314B37">
            <w:pPr>
              <w:pStyle w:val="NormalWeb"/>
              <w:rPr>
                <w:sz w:val="18"/>
                <w:szCs w:val="18"/>
              </w:rPr>
            </w:pPr>
            <w:r w:rsidRPr="0087487B">
              <w:rPr>
                <w:sz w:val="18"/>
                <w:szCs w:val="18"/>
              </w:rPr>
              <w:t>0.6% (7)</w:t>
            </w:r>
          </w:p>
        </w:tc>
        <w:tc>
          <w:tcPr>
            <w:tcW w:w="1701" w:type="dxa"/>
            <w:hideMark/>
          </w:tcPr>
          <w:p w14:paraId="1D0590A3" w14:textId="77777777" w:rsidR="00B95902" w:rsidRPr="0087487B" w:rsidRDefault="00B95902" w:rsidP="00314B37">
            <w:pPr>
              <w:pStyle w:val="NormalWeb"/>
              <w:rPr>
                <w:sz w:val="18"/>
                <w:szCs w:val="18"/>
              </w:rPr>
            </w:pPr>
            <w:r w:rsidRPr="0087487B">
              <w:rPr>
                <w:sz w:val="18"/>
                <w:szCs w:val="18"/>
              </w:rPr>
              <w:t>0.6% (7)</w:t>
            </w:r>
          </w:p>
        </w:tc>
        <w:tc>
          <w:tcPr>
            <w:tcW w:w="1560" w:type="dxa"/>
            <w:hideMark/>
          </w:tcPr>
          <w:p w14:paraId="798A7B54" w14:textId="77777777" w:rsidR="00B95902" w:rsidRPr="0087487B" w:rsidRDefault="00B95902" w:rsidP="00314B37">
            <w:pPr>
              <w:pStyle w:val="NormalWeb"/>
              <w:rPr>
                <w:sz w:val="18"/>
                <w:szCs w:val="18"/>
              </w:rPr>
            </w:pPr>
            <w:r w:rsidRPr="0087487B">
              <w:rPr>
                <w:sz w:val="18"/>
                <w:szCs w:val="18"/>
              </w:rPr>
              <w:t>0.3% (3)</w:t>
            </w:r>
          </w:p>
        </w:tc>
        <w:tc>
          <w:tcPr>
            <w:tcW w:w="2076" w:type="dxa"/>
            <w:hideMark/>
          </w:tcPr>
          <w:p w14:paraId="50AA359C" w14:textId="77777777" w:rsidR="00B95902" w:rsidRPr="0087487B" w:rsidRDefault="00B95902" w:rsidP="00314B37">
            <w:pPr>
              <w:pStyle w:val="NormalWeb"/>
              <w:rPr>
                <w:sz w:val="18"/>
                <w:szCs w:val="18"/>
              </w:rPr>
            </w:pPr>
            <w:r w:rsidRPr="0087487B">
              <w:rPr>
                <w:sz w:val="18"/>
                <w:szCs w:val="18"/>
              </w:rPr>
              <w:t>0.6% (5)</w:t>
            </w:r>
          </w:p>
        </w:tc>
      </w:tr>
      <w:tr w:rsidR="00B95902" w:rsidRPr="0087487B" w14:paraId="4D417308" w14:textId="77777777" w:rsidTr="00622EBB">
        <w:trPr>
          <w:cnfStyle w:val="000000010000" w:firstRow="0" w:lastRow="0" w:firstColumn="0" w:lastColumn="0" w:oddVBand="0" w:evenVBand="0" w:oddHBand="0" w:evenHBand="1" w:firstRowFirstColumn="0" w:firstRowLastColumn="0" w:lastRowFirstColumn="0" w:lastRowLastColumn="0"/>
          <w:divId w:val="448665177"/>
        </w:trPr>
        <w:tc>
          <w:tcPr>
            <w:tcW w:w="3119" w:type="dxa"/>
            <w:hideMark/>
          </w:tcPr>
          <w:p w14:paraId="602333D9" w14:textId="77777777" w:rsidR="00B95902" w:rsidRPr="0087487B" w:rsidRDefault="00B95902" w:rsidP="00314B37">
            <w:pPr>
              <w:pStyle w:val="NormalWeb"/>
              <w:jc w:val="left"/>
              <w:rPr>
                <w:sz w:val="18"/>
                <w:szCs w:val="18"/>
              </w:rPr>
            </w:pPr>
            <w:r w:rsidRPr="0087487B">
              <w:rPr>
                <w:sz w:val="18"/>
                <w:szCs w:val="18"/>
              </w:rPr>
              <w:t>XDR-TB</w:t>
            </w:r>
          </w:p>
        </w:tc>
        <w:tc>
          <w:tcPr>
            <w:tcW w:w="1984" w:type="dxa"/>
            <w:hideMark/>
          </w:tcPr>
          <w:p w14:paraId="4188FC99" w14:textId="77777777" w:rsidR="00B95902" w:rsidRPr="0087487B" w:rsidRDefault="00B95902" w:rsidP="00314B37">
            <w:pPr>
              <w:pStyle w:val="NormalWeb"/>
              <w:rPr>
                <w:sz w:val="18"/>
                <w:szCs w:val="18"/>
              </w:rPr>
            </w:pPr>
            <w:r w:rsidRPr="0087487B">
              <w:rPr>
                <w:sz w:val="18"/>
                <w:szCs w:val="18"/>
              </w:rPr>
              <w:t xml:space="preserve">0.1% (1) </w:t>
            </w:r>
            <w:r w:rsidRPr="00C74D36">
              <w:rPr>
                <w:sz w:val="18"/>
                <w:szCs w:val="18"/>
                <w:vertAlign w:val="superscript"/>
              </w:rPr>
              <w:t>c</w:t>
            </w:r>
          </w:p>
        </w:tc>
        <w:tc>
          <w:tcPr>
            <w:tcW w:w="1701" w:type="dxa"/>
            <w:hideMark/>
          </w:tcPr>
          <w:p w14:paraId="3F4F6195" w14:textId="77777777" w:rsidR="00B95902" w:rsidRPr="0087487B" w:rsidRDefault="00B95902" w:rsidP="00314B37">
            <w:pPr>
              <w:pStyle w:val="NormalWeb"/>
              <w:rPr>
                <w:sz w:val="18"/>
                <w:szCs w:val="18"/>
              </w:rPr>
            </w:pPr>
            <w:r w:rsidRPr="0087487B">
              <w:rPr>
                <w:sz w:val="18"/>
                <w:szCs w:val="18"/>
              </w:rPr>
              <w:t xml:space="preserve">0% (0) </w:t>
            </w:r>
            <w:r w:rsidRPr="00C74D36">
              <w:rPr>
                <w:sz w:val="18"/>
                <w:szCs w:val="18"/>
                <w:vertAlign w:val="superscript"/>
              </w:rPr>
              <w:t>c</w:t>
            </w:r>
          </w:p>
        </w:tc>
        <w:tc>
          <w:tcPr>
            <w:tcW w:w="1560" w:type="dxa"/>
            <w:hideMark/>
          </w:tcPr>
          <w:p w14:paraId="635F6F76" w14:textId="77777777" w:rsidR="00B95902" w:rsidRPr="0087487B" w:rsidRDefault="00B95902" w:rsidP="00314B37">
            <w:pPr>
              <w:pStyle w:val="NormalWeb"/>
              <w:rPr>
                <w:sz w:val="18"/>
                <w:szCs w:val="18"/>
              </w:rPr>
            </w:pPr>
            <w:r w:rsidRPr="0087487B">
              <w:rPr>
                <w:sz w:val="18"/>
                <w:szCs w:val="18"/>
              </w:rPr>
              <w:t xml:space="preserve">0% (0) </w:t>
            </w:r>
            <w:r w:rsidRPr="00C74D36">
              <w:rPr>
                <w:sz w:val="18"/>
                <w:szCs w:val="18"/>
                <w:vertAlign w:val="superscript"/>
              </w:rPr>
              <w:t>d</w:t>
            </w:r>
          </w:p>
        </w:tc>
        <w:tc>
          <w:tcPr>
            <w:tcW w:w="2076" w:type="dxa"/>
            <w:hideMark/>
          </w:tcPr>
          <w:p w14:paraId="5F43F601" w14:textId="77777777" w:rsidR="00B95902" w:rsidRPr="0087487B" w:rsidRDefault="00B95902" w:rsidP="00314B37">
            <w:pPr>
              <w:pStyle w:val="NormalWeb"/>
              <w:rPr>
                <w:sz w:val="18"/>
                <w:szCs w:val="18"/>
              </w:rPr>
            </w:pPr>
            <w:r w:rsidRPr="0087487B">
              <w:rPr>
                <w:sz w:val="18"/>
                <w:szCs w:val="18"/>
              </w:rPr>
              <w:t xml:space="preserve">0% (0) </w:t>
            </w:r>
            <w:r w:rsidRPr="00C74D36">
              <w:rPr>
                <w:sz w:val="18"/>
                <w:szCs w:val="18"/>
                <w:vertAlign w:val="superscript"/>
              </w:rPr>
              <w:t>d</w:t>
            </w:r>
          </w:p>
        </w:tc>
      </w:tr>
    </w:tbl>
    <w:p w14:paraId="62E6DE9C" w14:textId="77777777" w:rsidR="00B95902" w:rsidRPr="0087487B" w:rsidRDefault="00B95902" w:rsidP="00B95902">
      <w:pPr>
        <w:pStyle w:val="CDIfootnotes"/>
        <w:divId w:val="448665177"/>
      </w:pPr>
      <w:r w:rsidRPr="0087487B">
        <w:t>a</w:t>
      </w:r>
      <w:r w:rsidRPr="0087487B">
        <w:tab/>
        <w:t>Resistance to at least one first-line anti-TB drug: isoniazid, rifampicin, pyrazinamide, and ethambutol.</w:t>
      </w:r>
    </w:p>
    <w:p w14:paraId="4DF6E54E" w14:textId="77777777" w:rsidR="00B95902" w:rsidRPr="0087487B" w:rsidRDefault="00B95902" w:rsidP="00B95902">
      <w:pPr>
        <w:pStyle w:val="CDIfootnotes"/>
        <w:divId w:val="448665177"/>
      </w:pPr>
      <w:r w:rsidRPr="0087487B">
        <w:t>b</w:t>
      </w:r>
      <w:r w:rsidRPr="0087487B">
        <w:tab/>
        <w:t>Resistance to rifampicin, isoniazid, and any fluroquinolone, OR resistance to rifampicin, isoniazid, and any second-line injectable (amikacin, capreomycin, and kanamycin).</w:t>
      </w:r>
    </w:p>
    <w:p w14:paraId="13C7CAFD" w14:textId="77777777" w:rsidR="00B95902" w:rsidRPr="0087487B" w:rsidRDefault="00B95902" w:rsidP="00B95902">
      <w:pPr>
        <w:pStyle w:val="CDIfootnotes"/>
        <w:divId w:val="448665177"/>
      </w:pPr>
      <w:r w:rsidRPr="0087487B">
        <w:t>c</w:t>
      </w:r>
      <w:r w:rsidRPr="0087487B">
        <w:tab/>
        <w:t>Resistance to rifampicin, isoniazid, and any fluroquinolone, and to at least one of the three injectable second-line drugs (WHO definition prior to 2021).</w:t>
      </w:r>
    </w:p>
    <w:p w14:paraId="72C303BB" w14:textId="77777777" w:rsidR="00B95902" w:rsidRPr="0087487B" w:rsidRDefault="00B95902" w:rsidP="00B95902">
      <w:pPr>
        <w:pStyle w:val="CDIfootnotes"/>
        <w:divId w:val="448665177"/>
      </w:pPr>
      <w:r w:rsidRPr="0087487B">
        <w:t>d</w:t>
      </w:r>
      <w:r w:rsidRPr="0087487B">
        <w:tab/>
        <w:t xml:space="preserve">Resistance to isoniazid and rifampicin, and any of the fluoroquinolones, and to at least one </w:t>
      </w:r>
      <w:proofErr w:type="gramStart"/>
      <w:r w:rsidRPr="0087487B">
        <w:t>additional</w:t>
      </w:r>
      <w:proofErr w:type="gramEnd"/>
      <w:r w:rsidRPr="0087487B">
        <w:t xml:space="preserve"> Group A drug (updated WHO definition from 2021 onwards). </w:t>
      </w:r>
    </w:p>
    <w:p w14:paraId="6B4DFBC6" w14:textId="77777777" w:rsidR="00F605B4" w:rsidRPr="0087487B" w:rsidRDefault="00F605B4" w:rsidP="00DB46AB">
      <w:pPr>
        <w:divId w:val="448665177"/>
      </w:pPr>
      <w:r w:rsidRPr="0087487B">
        <w:t xml:space="preserve">Of the MDR-TB cases reported in 2019–2022 among overseas-born people, the majority were born in India (17 cases), China (13), the Philippines (13), and Vietnam (11). Of the six Australian-born MDR-TB cases notified in the </w:t>
      </w:r>
      <w:r w:rsidRPr="0087487B">
        <w:lastRenderedPageBreak/>
        <w:t xml:space="preserve">four-year period, none were in Indigenous Australians. </w:t>
      </w:r>
      <w:proofErr w:type="gramStart"/>
      <w:r w:rsidRPr="0087487B">
        <w:t>Additional</w:t>
      </w:r>
      <w:proofErr w:type="gramEnd"/>
      <w:r w:rsidRPr="0087487B">
        <w:t xml:space="preserve"> resistance to a fluoroquinolone was reported in an average of 21% (range: 12.5–23.3%) of those cases with resistance to both isoniazid and rifampicin for 2019–2022. Extensively drug-resistant TB accounted for only one case over this period.</w:t>
      </w:r>
    </w:p>
    <w:p w14:paraId="34BB52B7" w14:textId="77777777" w:rsidR="000C644B" w:rsidRPr="0087487B" w:rsidRDefault="000C644B">
      <w:pPr>
        <w:rPr>
          <w:rFonts w:asciiTheme="majorHAnsi" w:eastAsia="Times New Roman" w:hAnsiTheme="majorHAnsi" w:cstheme="majorBidi"/>
          <w:b/>
          <w:bCs/>
          <w:sz w:val="26"/>
          <w:szCs w:val="26"/>
        </w:rPr>
      </w:pPr>
      <w:r w:rsidRPr="0087487B">
        <w:rPr>
          <w:rFonts w:eastAsia="Times New Roman"/>
        </w:rPr>
        <w:br w:type="page"/>
      </w:r>
    </w:p>
    <w:p w14:paraId="29C0C2A2" w14:textId="4BC3E1D4" w:rsidR="00F605B4" w:rsidRPr="0087487B" w:rsidRDefault="00F605B4">
      <w:pPr>
        <w:pStyle w:val="Heading2"/>
        <w:divId w:val="448665177"/>
        <w:rPr>
          <w:rFonts w:eastAsia="Times New Roman"/>
        </w:rPr>
      </w:pPr>
      <w:r w:rsidRPr="0087487B">
        <w:rPr>
          <w:rFonts w:eastAsia="Times New Roman"/>
        </w:rPr>
        <w:lastRenderedPageBreak/>
        <w:t xml:space="preserve">DR-TB development and transmission </w:t>
      </w:r>
    </w:p>
    <w:p w14:paraId="62F78350" w14:textId="77777777" w:rsidR="00F605B4" w:rsidRPr="0087487B" w:rsidRDefault="00F605B4" w:rsidP="00DB46AB">
      <w:pPr>
        <w:divId w:val="448665177"/>
      </w:pPr>
      <w:r w:rsidRPr="0087487B">
        <w:t xml:space="preserve">Most cases of TB are fully drug susceptible and treatable with WHO standard first line therapy. If appropriately managed and supervised, this regimen can achieve high cure rates and prevent </w:t>
      </w:r>
      <w:proofErr w:type="gramStart"/>
      <w:r w:rsidRPr="0087487B">
        <w:t>acquired</w:t>
      </w:r>
      <w:proofErr w:type="gramEnd"/>
      <w:r w:rsidRPr="0087487B">
        <w:t xml:space="preserve"> drug resistance. </w:t>
      </w:r>
    </w:p>
    <w:p w14:paraId="4C757252" w14:textId="77777777" w:rsidR="00F605B4" w:rsidRPr="0087487B" w:rsidRDefault="00F605B4" w:rsidP="00DB46AB">
      <w:pPr>
        <w:divId w:val="448665177"/>
      </w:pPr>
      <w:r w:rsidRPr="0087487B">
        <w:t xml:space="preserve">Drug-resistant TB may arise through two means: </w:t>
      </w:r>
    </w:p>
    <w:p w14:paraId="50AFA0F5" w14:textId="77777777" w:rsidR="00F605B4" w:rsidRPr="0087487B" w:rsidRDefault="00F605B4" w:rsidP="00934C63">
      <w:pPr>
        <w:numPr>
          <w:ilvl w:val="0"/>
          <w:numId w:val="13"/>
        </w:numPr>
        <w:spacing w:before="100" w:beforeAutospacing="1" w:after="100" w:afterAutospacing="1" w:line="240" w:lineRule="auto"/>
        <w:divId w:val="448665177"/>
        <w:rPr>
          <w:rFonts w:eastAsia="Times New Roman"/>
        </w:rPr>
      </w:pPr>
      <w:r w:rsidRPr="0087487B">
        <w:rPr>
          <w:rFonts w:eastAsia="Times New Roman"/>
        </w:rPr>
        <w:t xml:space="preserve">selection for pre-existing resistant bacteria in a person on treatment for drug susceptible or single drug-resistant TB – acquired (secondary) </w:t>
      </w:r>
      <w:proofErr w:type="gramStart"/>
      <w:r w:rsidRPr="0087487B">
        <w:rPr>
          <w:rFonts w:eastAsia="Times New Roman"/>
        </w:rPr>
        <w:t>resistance</w:t>
      </w:r>
      <w:proofErr w:type="gramEnd"/>
      <w:r w:rsidRPr="0087487B">
        <w:rPr>
          <w:rFonts w:eastAsia="Times New Roman"/>
        </w:rPr>
        <w:t xml:space="preserve"> </w:t>
      </w:r>
    </w:p>
    <w:p w14:paraId="7CBEC9CA" w14:textId="77777777" w:rsidR="00F605B4" w:rsidRPr="0087487B" w:rsidRDefault="00F605B4" w:rsidP="00934C63">
      <w:pPr>
        <w:numPr>
          <w:ilvl w:val="0"/>
          <w:numId w:val="13"/>
        </w:numPr>
        <w:spacing w:before="100" w:beforeAutospacing="1" w:after="100" w:afterAutospacing="1" w:line="240" w:lineRule="auto"/>
        <w:divId w:val="448665177"/>
        <w:rPr>
          <w:rFonts w:eastAsia="Times New Roman"/>
        </w:rPr>
      </w:pPr>
      <w:r w:rsidRPr="0087487B">
        <w:rPr>
          <w:rFonts w:eastAsia="Times New Roman"/>
        </w:rPr>
        <w:t xml:space="preserve">infection occurring in a previously untreated person through direct transmission from an individual with active MDR-TB disease – transmitted (primary) </w:t>
      </w:r>
      <w:proofErr w:type="gramStart"/>
      <w:r w:rsidRPr="0087487B">
        <w:rPr>
          <w:rFonts w:eastAsia="Times New Roman"/>
        </w:rPr>
        <w:t>resistance</w:t>
      </w:r>
      <w:proofErr w:type="gramEnd"/>
      <w:r w:rsidRPr="0087487B">
        <w:rPr>
          <w:rFonts w:eastAsia="Times New Roman"/>
        </w:rPr>
        <w:t xml:space="preserve"> </w:t>
      </w:r>
    </w:p>
    <w:p w14:paraId="3E505513" w14:textId="77777777" w:rsidR="00F605B4" w:rsidRPr="0087487B" w:rsidRDefault="00F605B4" w:rsidP="00DB46AB">
      <w:pPr>
        <w:divId w:val="448665177"/>
      </w:pPr>
      <w:proofErr w:type="gramStart"/>
      <w:r w:rsidRPr="0087487B">
        <w:t>Acquired</w:t>
      </w:r>
      <w:proofErr w:type="gramEnd"/>
      <w:r w:rsidRPr="0087487B">
        <w:t xml:space="preserve"> drug resistance occurs due to the selection of naturally occurring resistant mutant sub-populations from inadequate drug treatment. Although the probability of spontaneous resistance occurring to both rifampicin and isoniazid is extremely unlikely, several factors can contribute to acquired resistance developing to one or more drugs within a relatively short </w:t>
      </w:r>
      <w:proofErr w:type="gramStart"/>
      <w:r w:rsidRPr="0087487B">
        <w:t>time-frame</w:t>
      </w:r>
      <w:proofErr w:type="gramEnd"/>
      <w:r w:rsidRPr="0087487B">
        <w:t xml:space="preserve">: </w:t>
      </w:r>
    </w:p>
    <w:p w14:paraId="2ADC9C23" w14:textId="77777777" w:rsidR="00F605B4" w:rsidRPr="0087487B" w:rsidRDefault="00F605B4" w:rsidP="00934C63">
      <w:pPr>
        <w:numPr>
          <w:ilvl w:val="0"/>
          <w:numId w:val="14"/>
        </w:numPr>
        <w:spacing w:before="100" w:beforeAutospacing="1" w:after="100" w:afterAutospacing="1" w:line="240" w:lineRule="auto"/>
        <w:divId w:val="448665177"/>
        <w:rPr>
          <w:rFonts w:eastAsia="Times New Roman"/>
        </w:rPr>
      </w:pPr>
      <w:r w:rsidRPr="0087487B">
        <w:rPr>
          <w:rFonts w:eastAsia="Times New Roman"/>
        </w:rPr>
        <w:t xml:space="preserve">use of an inadequate regimen combination </w:t>
      </w:r>
    </w:p>
    <w:p w14:paraId="6C5EA335" w14:textId="77777777" w:rsidR="00F605B4" w:rsidRPr="0087487B" w:rsidRDefault="00F605B4" w:rsidP="00934C63">
      <w:pPr>
        <w:numPr>
          <w:ilvl w:val="0"/>
          <w:numId w:val="14"/>
        </w:numPr>
        <w:spacing w:before="100" w:beforeAutospacing="1" w:after="100" w:afterAutospacing="1" w:line="240" w:lineRule="auto"/>
        <w:divId w:val="448665177"/>
        <w:rPr>
          <w:rFonts w:eastAsia="Times New Roman"/>
        </w:rPr>
      </w:pPr>
      <w:r w:rsidRPr="0087487B">
        <w:rPr>
          <w:rFonts w:eastAsia="Times New Roman"/>
        </w:rPr>
        <w:t xml:space="preserve">sub-optimal drug doses </w:t>
      </w:r>
    </w:p>
    <w:p w14:paraId="05A826D0" w14:textId="77777777" w:rsidR="00F605B4" w:rsidRPr="0087487B" w:rsidRDefault="00F605B4" w:rsidP="00934C63">
      <w:pPr>
        <w:numPr>
          <w:ilvl w:val="0"/>
          <w:numId w:val="14"/>
        </w:numPr>
        <w:spacing w:before="100" w:beforeAutospacing="1" w:after="100" w:afterAutospacing="1" w:line="240" w:lineRule="auto"/>
        <w:divId w:val="448665177"/>
        <w:rPr>
          <w:rFonts w:eastAsia="Times New Roman"/>
        </w:rPr>
      </w:pPr>
      <w:r w:rsidRPr="0087487B">
        <w:rPr>
          <w:rFonts w:eastAsia="Times New Roman"/>
        </w:rPr>
        <w:t xml:space="preserve">irregular patient adherence to treatment </w:t>
      </w:r>
    </w:p>
    <w:p w14:paraId="1EE5A519" w14:textId="77777777" w:rsidR="00F605B4" w:rsidRPr="0087487B" w:rsidRDefault="00F605B4" w:rsidP="00934C63">
      <w:pPr>
        <w:numPr>
          <w:ilvl w:val="0"/>
          <w:numId w:val="14"/>
        </w:numPr>
        <w:spacing w:before="100" w:beforeAutospacing="1" w:after="100" w:afterAutospacing="1" w:line="240" w:lineRule="auto"/>
        <w:divId w:val="448665177"/>
        <w:rPr>
          <w:rFonts w:eastAsia="Times New Roman"/>
        </w:rPr>
      </w:pPr>
      <w:r w:rsidRPr="0087487B">
        <w:rPr>
          <w:rFonts w:eastAsia="Times New Roman"/>
        </w:rPr>
        <w:t xml:space="preserve">patient pharmaco-kinetic variability </w:t>
      </w:r>
    </w:p>
    <w:p w14:paraId="6AFB7803" w14:textId="77777777" w:rsidR="00F605B4" w:rsidRPr="0087487B" w:rsidRDefault="00F605B4" w:rsidP="00934C63">
      <w:pPr>
        <w:numPr>
          <w:ilvl w:val="0"/>
          <w:numId w:val="14"/>
        </w:numPr>
        <w:spacing w:before="100" w:beforeAutospacing="1" w:after="100" w:afterAutospacing="1" w:line="240" w:lineRule="auto"/>
        <w:divId w:val="448665177"/>
        <w:rPr>
          <w:rFonts w:eastAsia="Times New Roman"/>
        </w:rPr>
      </w:pPr>
      <w:r w:rsidRPr="0087487B">
        <w:rPr>
          <w:rFonts w:eastAsia="Times New Roman"/>
        </w:rPr>
        <w:t xml:space="preserve">impaired drug penetration at the site of disease, </w:t>
      </w:r>
      <w:proofErr w:type="gramStart"/>
      <w:r w:rsidRPr="0087487B">
        <w:rPr>
          <w:rFonts w:eastAsia="Times New Roman"/>
        </w:rPr>
        <w:t>e.g.</w:t>
      </w:r>
      <w:proofErr w:type="gramEnd"/>
      <w:r w:rsidRPr="0087487B">
        <w:rPr>
          <w:rFonts w:eastAsia="Times New Roman"/>
        </w:rPr>
        <w:t xml:space="preserve"> cavitary pulmonary TB </w:t>
      </w:r>
    </w:p>
    <w:p w14:paraId="4C37F351" w14:textId="77777777" w:rsidR="00F605B4" w:rsidRPr="0087487B" w:rsidRDefault="00F605B4" w:rsidP="00934C63">
      <w:pPr>
        <w:numPr>
          <w:ilvl w:val="0"/>
          <w:numId w:val="14"/>
        </w:numPr>
        <w:spacing w:before="100" w:beforeAutospacing="1" w:after="100" w:afterAutospacing="1" w:line="240" w:lineRule="auto"/>
        <w:divId w:val="448665177"/>
        <w:rPr>
          <w:rFonts w:eastAsia="Times New Roman"/>
        </w:rPr>
      </w:pPr>
      <w:r w:rsidRPr="0087487B">
        <w:rPr>
          <w:rFonts w:eastAsia="Times New Roman"/>
        </w:rPr>
        <w:t xml:space="preserve">drug malabsorption, </w:t>
      </w:r>
      <w:proofErr w:type="gramStart"/>
      <w:r w:rsidRPr="0087487B">
        <w:rPr>
          <w:rFonts w:eastAsia="Times New Roman"/>
        </w:rPr>
        <w:t>e.g.</w:t>
      </w:r>
      <w:proofErr w:type="gramEnd"/>
      <w:r w:rsidRPr="0087487B">
        <w:rPr>
          <w:rFonts w:eastAsia="Times New Roman"/>
        </w:rPr>
        <w:t xml:space="preserve"> in TB/human immunodeficiency virus (HIV), diabetic cases </w:t>
      </w:r>
    </w:p>
    <w:p w14:paraId="197E3761" w14:textId="77777777" w:rsidR="00F605B4" w:rsidRPr="0087487B" w:rsidRDefault="00F605B4" w:rsidP="00934C63">
      <w:pPr>
        <w:numPr>
          <w:ilvl w:val="0"/>
          <w:numId w:val="14"/>
        </w:numPr>
        <w:spacing w:before="100" w:beforeAutospacing="1" w:after="100" w:afterAutospacing="1" w:line="240" w:lineRule="auto"/>
        <w:divId w:val="448665177"/>
        <w:rPr>
          <w:rFonts w:eastAsia="Times New Roman"/>
        </w:rPr>
      </w:pPr>
      <w:r w:rsidRPr="0087487B">
        <w:rPr>
          <w:rFonts w:eastAsia="Times New Roman"/>
        </w:rPr>
        <w:t xml:space="preserve">drug quality and supply issues. </w:t>
      </w:r>
    </w:p>
    <w:p w14:paraId="1A1F4C9F" w14:textId="77777777" w:rsidR="00F605B4" w:rsidRPr="0087487B" w:rsidRDefault="00F605B4" w:rsidP="00DB46AB">
      <w:pPr>
        <w:divId w:val="448665177"/>
      </w:pPr>
      <w:r w:rsidRPr="0087487B">
        <w:t xml:space="preserve">Primary drug resistance due to transmission of a drug resistant strain </w:t>
      </w:r>
      <w:proofErr w:type="gramStart"/>
      <w:r w:rsidRPr="0087487B">
        <w:t>is increasingly recognised</w:t>
      </w:r>
      <w:proofErr w:type="gramEnd"/>
      <w:r w:rsidRPr="0087487B">
        <w:t xml:space="preserve"> as a key contributor to the MDR-TB burden. While most cases in Australia are likely to be primary in nature from drug resistant infection </w:t>
      </w:r>
      <w:proofErr w:type="gramStart"/>
      <w:r w:rsidRPr="0087487B">
        <w:t>acquired</w:t>
      </w:r>
      <w:proofErr w:type="gramEnd"/>
      <w:r w:rsidRPr="0087487B">
        <w:t xml:space="preserve"> in the country of origin (or possibly local recent transmission from close contact), monitoring for acquired drug resistance is important as it may have implications for the quality of the treatment program.</w:t>
      </w:r>
    </w:p>
    <w:p w14:paraId="3DCB3512" w14:textId="77777777" w:rsidR="00F605B4" w:rsidRPr="0087487B" w:rsidRDefault="00F605B4" w:rsidP="000C31FE">
      <w:pPr>
        <w:pStyle w:val="Heading2"/>
        <w:divId w:val="448665177"/>
      </w:pPr>
      <w:r w:rsidRPr="0087487B">
        <w:t xml:space="preserve">Laboratory diagnosis of drug-resistant tuberculosis </w:t>
      </w:r>
    </w:p>
    <w:p w14:paraId="37BFCE0E" w14:textId="77777777" w:rsidR="00F605B4" w:rsidRPr="0087487B" w:rsidRDefault="00F605B4" w:rsidP="00DB46AB">
      <w:pPr>
        <w:divId w:val="448665177"/>
      </w:pPr>
      <w:r w:rsidRPr="0087487B">
        <w:t xml:space="preserve">The early laboratory diagnosis of MDR-TB and the provision of </w:t>
      </w:r>
      <w:proofErr w:type="gramStart"/>
      <w:r w:rsidRPr="0087487B">
        <w:t>accurate</w:t>
      </w:r>
      <w:proofErr w:type="gramEnd"/>
      <w:r w:rsidRPr="0087487B">
        <w:t xml:space="preserve"> drug susceptibility data are critical to ensuring the use of an effective treatment regimen and a successful treatment outcome, preventing resistance amplification and minimising transmission. </w:t>
      </w:r>
    </w:p>
    <w:p w14:paraId="5450B2BF" w14:textId="77777777" w:rsidR="00F605B4" w:rsidRPr="0087487B" w:rsidRDefault="00F605B4" w:rsidP="00DB46AB">
      <w:pPr>
        <w:divId w:val="448665177"/>
      </w:pPr>
      <w:r w:rsidRPr="0087487B">
        <w:t xml:space="preserve">Australia’s Mycobacterium Reference Laboratory Network (MRLN) provides phenotypic drug susceptibility testing (DST) on all initial </w:t>
      </w:r>
      <w:r w:rsidRPr="0087487B">
        <w:rPr>
          <w:rStyle w:val="Emphasis"/>
          <w:b w:val="0"/>
          <w:bCs w:val="0"/>
        </w:rPr>
        <w:t>M. tuberculosis</w:t>
      </w:r>
      <w:r w:rsidRPr="0087487B">
        <w:t xml:space="preserve"> isolates from new TB patients and in other specific circumstances as outlined in NTAC’s TB Laboratory Guidelines.</w:t>
      </w:r>
      <w:r w:rsidRPr="0087487B">
        <w:rPr>
          <w:vertAlign w:val="superscript"/>
        </w:rPr>
        <w:t>19</w:t>
      </w:r>
      <w:r w:rsidRPr="0087487B">
        <w:t xml:space="preserve"> This DST testing is performed by liquid-based systems, such as Mycobacterium Growth Indicator Tubes (MGIT; Becton Dickinson), with the aim of reporting TB DST results within an average of 15–30 days from the time of receipt of the original specimen. This phenotypic testing is complemented by rapid molecular testing when appropriate using: the </w:t>
      </w:r>
      <w:proofErr w:type="spellStart"/>
      <w:r w:rsidRPr="0087487B">
        <w:t>Xpert</w:t>
      </w:r>
      <w:proofErr w:type="spellEnd"/>
      <w:r w:rsidRPr="0087487B">
        <w:t xml:space="preserve">® MTB/RIF Ultra assay (Cepheid, Sunnyvale, CA – for detection of </w:t>
      </w:r>
      <w:r w:rsidRPr="0087487B">
        <w:rPr>
          <w:rStyle w:val="Emphasis"/>
          <w:b w:val="0"/>
          <w:bCs w:val="0"/>
        </w:rPr>
        <w:t>M. tuberculosis</w:t>
      </w:r>
      <w:r w:rsidRPr="0087487B">
        <w:t xml:space="preserve"> and rifampicin resistance); the </w:t>
      </w:r>
      <w:proofErr w:type="spellStart"/>
      <w:r w:rsidRPr="0087487B">
        <w:t>Xpert</w:t>
      </w:r>
      <w:proofErr w:type="spellEnd"/>
      <w:r w:rsidRPr="0087487B">
        <w:t xml:space="preserve">® MTB/XDR assay (for detection of resistance to six drugs); commercial line-probe assays (Hain </w:t>
      </w:r>
      <w:proofErr w:type="spellStart"/>
      <w:r w:rsidRPr="0087487B">
        <w:t>Lifescience</w:t>
      </w:r>
      <w:proofErr w:type="spellEnd"/>
      <w:r w:rsidRPr="0087487B">
        <w:t xml:space="preserve"> GmbH, </w:t>
      </w:r>
      <w:proofErr w:type="spellStart"/>
      <w:r w:rsidRPr="0087487B">
        <w:t>Nehren</w:t>
      </w:r>
      <w:proofErr w:type="spellEnd"/>
      <w:r w:rsidRPr="0087487B">
        <w:t xml:space="preserve">, Germany); and/or Sanger sequencing of known resistance genes. </w:t>
      </w:r>
    </w:p>
    <w:p w14:paraId="36E6240D" w14:textId="77777777" w:rsidR="00F605B4" w:rsidRPr="0087487B" w:rsidRDefault="00F605B4" w:rsidP="00DB46AB">
      <w:pPr>
        <w:divId w:val="448665177"/>
      </w:pPr>
      <w:r w:rsidRPr="0087487B">
        <w:t>Phenotypic testing for susceptibility to the new and repurposed agents (</w:t>
      </w:r>
      <w:proofErr w:type="gramStart"/>
      <w:r w:rsidRPr="0087487B">
        <w:t>e.g.</w:t>
      </w:r>
      <w:proofErr w:type="gramEnd"/>
      <w:r w:rsidRPr="0087487B">
        <w:t xml:space="preserve"> </w:t>
      </w:r>
      <w:proofErr w:type="spellStart"/>
      <w:r w:rsidRPr="0087487B">
        <w:t>bedaquiline</w:t>
      </w:r>
      <w:proofErr w:type="spellEnd"/>
      <w:r w:rsidRPr="0087487B">
        <w:t xml:space="preserve">, </w:t>
      </w:r>
      <w:proofErr w:type="spellStart"/>
      <w:r w:rsidRPr="0087487B">
        <w:t>delamanid</w:t>
      </w:r>
      <w:proofErr w:type="spellEnd"/>
      <w:r w:rsidRPr="0087487B">
        <w:t xml:space="preserve">, clofazimine, linezolid, </w:t>
      </w:r>
      <w:proofErr w:type="spellStart"/>
      <w:r w:rsidRPr="0087487B">
        <w:t>pretomanid</w:t>
      </w:r>
      <w:proofErr w:type="spellEnd"/>
      <w:r w:rsidRPr="0087487B">
        <w:t xml:space="preserve">) has proved challenging for the MRLN laboratories, as it has for international reference laboratories. The challenges have included: access to drug powders and drug-resistant type strains; agreed methodologies and breakpoints for these agents; and involvement in external quality assurance programs (QAPs) that </w:t>
      </w:r>
      <w:proofErr w:type="gramStart"/>
      <w:r w:rsidRPr="0087487B">
        <w:t>test</w:t>
      </w:r>
      <w:proofErr w:type="gramEnd"/>
      <w:r w:rsidRPr="0087487B">
        <w:t xml:space="preserve"> a laboratory’s performance for DST of these agents. One potential solution is the use of commercial broth </w:t>
      </w:r>
      <w:r w:rsidRPr="0087487B">
        <w:lastRenderedPageBreak/>
        <w:t xml:space="preserve">microdilution assays </w:t>
      </w:r>
      <w:proofErr w:type="gramStart"/>
      <w:r w:rsidRPr="0087487B">
        <w:t>containing</w:t>
      </w:r>
      <w:proofErr w:type="gramEnd"/>
      <w:r w:rsidRPr="0087487B">
        <w:t xml:space="preserve"> these various agents. Careful adherence to instructions for use, good laboratory work practices and PC3 biocontainment environment are emphasised when dealing with the inoculation and reading of these </w:t>
      </w:r>
      <w:proofErr w:type="spellStart"/>
      <w:r w:rsidRPr="0087487B">
        <w:t>microtitre</w:t>
      </w:r>
      <w:proofErr w:type="spellEnd"/>
      <w:r w:rsidRPr="0087487B">
        <w:t xml:space="preserve"> plates. Improvements in dilution range, drug preparation, validation of atmospheric condition and quality control also would be </w:t>
      </w:r>
      <w:proofErr w:type="gramStart"/>
      <w:r w:rsidRPr="0087487B">
        <w:t>required</w:t>
      </w:r>
      <w:proofErr w:type="gramEnd"/>
      <w:r w:rsidRPr="0087487B">
        <w:t xml:space="preserve"> for implementation. </w:t>
      </w:r>
    </w:p>
    <w:p w14:paraId="3601D852" w14:textId="35ACA3BA" w:rsidR="00F605B4" w:rsidRPr="0087487B" w:rsidRDefault="00F605B4" w:rsidP="00DB46AB">
      <w:pPr>
        <w:divId w:val="448665177"/>
      </w:pPr>
      <w:r w:rsidRPr="0087487B">
        <w:t xml:space="preserve">Whole genome sequencing (WGS) for </w:t>
      </w:r>
      <w:r w:rsidRPr="0087487B">
        <w:rPr>
          <w:rStyle w:val="Emphasis"/>
          <w:b w:val="0"/>
          <w:bCs w:val="0"/>
        </w:rPr>
        <w:t>M. tuberculosis</w:t>
      </w:r>
      <w:r w:rsidRPr="0087487B">
        <w:t xml:space="preserve"> is now available in all Australian </w:t>
      </w:r>
      <w:proofErr w:type="gramStart"/>
      <w:r w:rsidRPr="0087487B">
        <w:t>jurisdictions</w:t>
      </w:r>
      <w:proofErr w:type="gramEnd"/>
      <w:r w:rsidRPr="0087487B">
        <w:t xml:space="preserve"> though coverage and turnaround times do vary between states and territories. WGS offers the prospect of compiling detailed genetic information from TB strains to identify genetic markers of resistance and to determine the level of resistance associated with specific mutations.</w:t>
      </w:r>
      <w:r w:rsidRPr="0087487B">
        <w:rPr>
          <w:vertAlign w:val="superscript"/>
        </w:rPr>
        <w:t>19</w:t>
      </w:r>
      <w:r w:rsidRPr="0087487B">
        <w:t xml:space="preserve"> The Communicable Diseases Genomics Network and the Australian Pathogen Genomics Program research project have identified </w:t>
      </w:r>
      <w:r w:rsidRPr="0087487B">
        <w:rPr>
          <w:rStyle w:val="Emphasis"/>
          <w:b w:val="0"/>
          <w:bCs w:val="0"/>
        </w:rPr>
        <w:t>M. tuberculosis</w:t>
      </w:r>
      <w:r w:rsidRPr="0087487B">
        <w:t xml:space="preserve"> as a priority </w:t>
      </w:r>
      <w:proofErr w:type="spellStart"/>
      <w:r w:rsidRPr="0087487B">
        <w:t>organism.</w:t>
      </w:r>
      <w:r w:rsidR="006A0F73" w:rsidRPr="0087487B">
        <w:rPr>
          <w:vertAlign w:val="superscript"/>
        </w:rPr>
        <w:t>ii</w:t>
      </w:r>
      <w:proofErr w:type="spellEnd"/>
      <w:r w:rsidRPr="0087487B">
        <w:t xml:space="preserve"> Working groups aim to develop a genomic tool for </w:t>
      </w:r>
      <w:r w:rsidRPr="0087487B">
        <w:rPr>
          <w:rStyle w:val="Emphasis"/>
          <w:b w:val="0"/>
          <w:bCs w:val="0"/>
        </w:rPr>
        <w:t>in silico</w:t>
      </w:r>
      <w:r w:rsidRPr="0087487B">
        <w:t xml:space="preserve"> detection of TB drug resistance and to assess the predictive capacity of the tool on a national dataset. In the meantime, phenotypic testing may remain necessary for agents where the molecular mechanism of resistance remains (incompletely) defined. </w:t>
      </w:r>
    </w:p>
    <w:p w14:paraId="7FD49435" w14:textId="62835314" w:rsidR="00486811" w:rsidRPr="0087487B" w:rsidRDefault="00F605B4" w:rsidP="00DB46AB">
      <w:pPr>
        <w:divId w:val="448665177"/>
      </w:pPr>
      <w:r w:rsidRPr="0087487B">
        <w:t xml:space="preserve">The MRLN is therefore </w:t>
      </w:r>
      <w:proofErr w:type="gramStart"/>
      <w:r w:rsidRPr="0087487B">
        <w:t>working</w:t>
      </w:r>
      <w:proofErr w:type="gramEnd"/>
      <w:r w:rsidRPr="0087487B">
        <w:t xml:space="preserve"> with clinical colleagues and bioinformaticians to integrate the phenotypic and genotypic testing methods for TB DST with the aim of optimising their speed and accuracy, which will ultimately benefit patients with DR-TB.</w:t>
      </w:r>
    </w:p>
    <w:p w14:paraId="49FC5B6F" w14:textId="77777777" w:rsidR="00486811" w:rsidRPr="0087487B" w:rsidRDefault="00486811" w:rsidP="00486811">
      <w:pPr>
        <w:pStyle w:val="Pa4"/>
        <w:spacing w:after="240"/>
        <w:jc w:val="both"/>
        <w:rPr>
          <w:rFonts w:cs="Myriad Variable Concept"/>
          <w:color w:val="000000"/>
        </w:rPr>
      </w:pPr>
    </w:p>
    <w:p w14:paraId="6317221F" w14:textId="09BB0C8F" w:rsidR="00486811" w:rsidRPr="0087487B" w:rsidRDefault="00486811" w:rsidP="004240ED">
      <w:pPr>
        <w:pStyle w:val="CDIfootnotes"/>
        <w:spacing w:before="7440" w:beforeAutospacing="0"/>
      </w:pPr>
      <w:r w:rsidRPr="0087487B">
        <w:t>ii</w:t>
      </w:r>
      <w:r w:rsidRPr="0087487B">
        <w:tab/>
        <w:t>https://www.cdgn.org.au/public-health-genomics.</w:t>
      </w:r>
      <w:r w:rsidRPr="0087487B">
        <w:br w:type="page"/>
      </w:r>
    </w:p>
    <w:p w14:paraId="1946ADF7" w14:textId="77777777" w:rsidR="00F605B4" w:rsidRPr="0087487B" w:rsidRDefault="00F605B4" w:rsidP="002E4D6D">
      <w:pPr>
        <w:pStyle w:val="Heading1"/>
        <w:divId w:val="448665177"/>
      </w:pPr>
      <w:r w:rsidRPr="0087487B">
        <w:lastRenderedPageBreak/>
        <w:t xml:space="preserve">2.Principles of management of MDR-TB </w:t>
      </w:r>
    </w:p>
    <w:p w14:paraId="478CA82F" w14:textId="77777777" w:rsidR="00F605B4" w:rsidRPr="0087487B" w:rsidRDefault="00F605B4" w:rsidP="00DB46AB">
      <w:pPr>
        <w:divId w:val="448665177"/>
      </w:pPr>
      <w:r w:rsidRPr="0087487B">
        <w:t xml:space="preserve">Given the small number of cases of MDR-TB that occur in Australia and the complexities involved, management in terms of best practice should be undertaken using a multi-disciplinary approach by or in close consultation with those with TB </w:t>
      </w:r>
      <w:proofErr w:type="gramStart"/>
      <w:r w:rsidRPr="0087487B">
        <w:t>expertise</w:t>
      </w:r>
      <w:proofErr w:type="gramEnd"/>
      <w:r w:rsidRPr="0087487B">
        <w:t xml:space="preserve">. State and territory-based TB Services provide a focal point to undertake this or support Respiratory and Infectious diseases clinicians with experience in TB management. </w:t>
      </w:r>
    </w:p>
    <w:p w14:paraId="7A1CE98A" w14:textId="77777777" w:rsidR="00F605B4" w:rsidRPr="0087487B" w:rsidRDefault="00F605B4" w:rsidP="00DB46AB">
      <w:pPr>
        <w:divId w:val="448665177"/>
      </w:pPr>
      <w:r w:rsidRPr="0087487B">
        <w:t xml:space="preserve">Key principles in the management of a person with DR-TB include: </w:t>
      </w:r>
    </w:p>
    <w:p w14:paraId="42384480" w14:textId="77777777" w:rsidR="00F605B4" w:rsidRPr="0087487B" w:rsidRDefault="00F605B4" w:rsidP="00934C63">
      <w:pPr>
        <w:numPr>
          <w:ilvl w:val="0"/>
          <w:numId w:val="15"/>
        </w:numPr>
        <w:spacing w:before="100" w:beforeAutospacing="1" w:after="100" w:afterAutospacing="1" w:line="240" w:lineRule="auto"/>
        <w:divId w:val="448665177"/>
        <w:rPr>
          <w:rFonts w:eastAsia="Times New Roman"/>
        </w:rPr>
      </w:pPr>
      <w:r w:rsidRPr="0087487B">
        <w:rPr>
          <w:rFonts w:eastAsia="Times New Roman"/>
        </w:rPr>
        <w:t xml:space="preserve">A patient-centred case management approach with </w:t>
      </w:r>
      <w:proofErr w:type="gramStart"/>
      <w:r w:rsidRPr="0087487B">
        <w:rPr>
          <w:rFonts w:eastAsia="Times New Roman"/>
        </w:rPr>
        <w:t>appropriate counselling</w:t>
      </w:r>
      <w:proofErr w:type="gramEnd"/>
      <w:r w:rsidRPr="0087487B">
        <w:rPr>
          <w:rFonts w:eastAsia="Times New Roman"/>
        </w:rPr>
        <w:t xml:space="preserve"> and education about their diagnosis and available treatment options and social support measures. </w:t>
      </w:r>
    </w:p>
    <w:p w14:paraId="03A8B599" w14:textId="77777777" w:rsidR="00F605B4" w:rsidRPr="0087487B" w:rsidRDefault="00F605B4" w:rsidP="00934C63">
      <w:pPr>
        <w:numPr>
          <w:ilvl w:val="0"/>
          <w:numId w:val="15"/>
        </w:numPr>
        <w:spacing w:before="100" w:beforeAutospacing="1" w:after="100" w:afterAutospacing="1" w:line="240" w:lineRule="auto"/>
        <w:divId w:val="448665177"/>
        <w:rPr>
          <w:rFonts w:eastAsia="Times New Roman"/>
        </w:rPr>
      </w:pPr>
      <w:r w:rsidRPr="0087487B">
        <w:rPr>
          <w:rFonts w:eastAsia="Times New Roman"/>
        </w:rPr>
        <w:t xml:space="preserve">An individualised approach to regimen design/drug </w:t>
      </w:r>
      <w:proofErr w:type="gramStart"/>
      <w:r w:rsidRPr="0087487B">
        <w:rPr>
          <w:rFonts w:eastAsia="Times New Roman"/>
        </w:rPr>
        <w:t>selection</w:t>
      </w:r>
      <w:proofErr w:type="gramEnd"/>
      <w:r w:rsidRPr="0087487B">
        <w:rPr>
          <w:rFonts w:eastAsia="Times New Roman"/>
        </w:rPr>
        <w:t xml:space="preserve"> based on international guidance and quality assured drug susceptibility testing (molecular and phenotypic DST) with a strong preference for use of an all-oral standardised shorter course regimen in those who meet the recommended criteria. </w:t>
      </w:r>
    </w:p>
    <w:p w14:paraId="7A4B72EA" w14:textId="77777777" w:rsidR="00F605B4" w:rsidRPr="0087487B" w:rsidRDefault="00F605B4" w:rsidP="00934C63">
      <w:pPr>
        <w:numPr>
          <w:ilvl w:val="0"/>
          <w:numId w:val="15"/>
        </w:numPr>
        <w:spacing w:before="100" w:beforeAutospacing="1" w:after="100" w:afterAutospacing="1" w:line="240" w:lineRule="auto"/>
        <w:divId w:val="448665177"/>
        <w:rPr>
          <w:rFonts w:eastAsia="Times New Roman"/>
        </w:rPr>
      </w:pPr>
      <w:r w:rsidRPr="0087487B">
        <w:rPr>
          <w:rFonts w:eastAsia="Times New Roman"/>
        </w:rPr>
        <w:t xml:space="preserve">Strategies that support treatment adherence and an agreed approach to administration. </w:t>
      </w:r>
    </w:p>
    <w:p w14:paraId="3B846E06" w14:textId="77777777" w:rsidR="00F605B4" w:rsidRPr="0087487B" w:rsidRDefault="00F605B4" w:rsidP="00934C63">
      <w:pPr>
        <w:numPr>
          <w:ilvl w:val="0"/>
          <w:numId w:val="15"/>
        </w:numPr>
        <w:spacing w:before="100" w:beforeAutospacing="1" w:after="100" w:afterAutospacing="1" w:line="240" w:lineRule="auto"/>
        <w:divId w:val="448665177"/>
        <w:rPr>
          <w:rFonts w:eastAsia="Times New Roman"/>
        </w:rPr>
      </w:pPr>
      <w:r w:rsidRPr="0087487B">
        <w:rPr>
          <w:rFonts w:eastAsia="Times New Roman"/>
        </w:rPr>
        <w:t xml:space="preserve">Routine monitoring of the patient to </w:t>
      </w:r>
      <w:proofErr w:type="gramStart"/>
      <w:r w:rsidRPr="0087487B">
        <w:rPr>
          <w:rFonts w:eastAsia="Times New Roman"/>
        </w:rPr>
        <w:t>ensure</w:t>
      </w:r>
      <w:proofErr w:type="gramEnd"/>
      <w:r w:rsidRPr="0087487B">
        <w:rPr>
          <w:rFonts w:eastAsia="Times New Roman"/>
        </w:rPr>
        <w:t xml:space="preserve"> </w:t>
      </w:r>
    </w:p>
    <w:p w14:paraId="627DAF20" w14:textId="77777777" w:rsidR="00F605B4" w:rsidRPr="0087487B" w:rsidRDefault="00F605B4" w:rsidP="00934C63">
      <w:pPr>
        <w:numPr>
          <w:ilvl w:val="1"/>
          <w:numId w:val="15"/>
        </w:numPr>
        <w:spacing w:before="100" w:beforeAutospacing="1" w:after="100" w:afterAutospacing="1" w:line="240" w:lineRule="auto"/>
        <w:divId w:val="448665177"/>
        <w:rPr>
          <w:rFonts w:eastAsia="Times New Roman"/>
        </w:rPr>
      </w:pPr>
      <w:r w:rsidRPr="0087487B">
        <w:rPr>
          <w:rFonts w:eastAsia="Times New Roman"/>
        </w:rPr>
        <w:t xml:space="preserve">appropriate adherence to therapy, including the use of direct or video observed </w:t>
      </w:r>
      <w:proofErr w:type="gramStart"/>
      <w:r w:rsidRPr="0087487B">
        <w:rPr>
          <w:rFonts w:eastAsia="Times New Roman"/>
        </w:rPr>
        <w:t>therapy</w:t>
      </w:r>
      <w:proofErr w:type="gramEnd"/>
      <w:r w:rsidRPr="0087487B">
        <w:rPr>
          <w:rFonts w:eastAsia="Times New Roman"/>
        </w:rPr>
        <w:t xml:space="preserve"> </w:t>
      </w:r>
    </w:p>
    <w:p w14:paraId="0AB43B64" w14:textId="77777777" w:rsidR="00F605B4" w:rsidRPr="0087487B" w:rsidRDefault="00F605B4" w:rsidP="00934C63">
      <w:pPr>
        <w:numPr>
          <w:ilvl w:val="1"/>
          <w:numId w:val="15"/>
        </w:numPr>
        <w:spacing w:before="100" w:beforeAutospacing="1" w:after="100" w:afterAutospacing="1" w:line="240" w:lineRule="auto"/>
        <w:divId w:val="448665177"/>
        <w:rPr>
          <w:rFonts w:eastAsia="Times New Roman"/>
        </w:rPr>
      </w:pPr>
      <w:r w:rsidRPr="0087487B">
        <w:rPr>
          <w:rFonts w:eastAsia="Times New Roman"/>
        </w:rPr>
        <w:t xml:space="preserve">early detection and management of adverse events and adverse drug reactions, and </w:t>
      </w:r>
    </w:p>
    <w:p w14:paraId="3F5719DC" w14:textId="77777777" w:rsidR="00F605B4" w:rsidRPr="0087487B" w:rsidRDefault="00F605B4" w:rsidP="00934C63">
      <w:pPr>
        <w:numPr>
          <w:ilvl w:val="1"/>
          <w:numId w:val="15"/>
        </w:numPr>
        <w:spacing w:before="100" w:beforeAutospacing="1" w:after="100" w:afterAutospacing="1" w:line="240" w:lineRule="auto"/>
        <w:divId w:val="448665177"/>
        <w:rPr>
          <w:rFonts w:eastAsia="Times New Roman"/>
        </w:rPr>
      </w:pPr>
      <w:proofErr w:type="gramStart"/>
      <w:r w:rsidRPr="0087487B">
        <w:rPr>
          <w:rFonts w:eastAsia="Times New Roman"/>
        </w:rPr>
        <w:t>an appropriate response</w:t>
      </w:r>
      <w:proofErr w:type="gramEnd"/>
      <w:r w:rsidRPr="0087487B">
        <w:rPr>
          <w:rFonts w:eastAsia="Times New Roman"/>
        </w:rPr>
        <w:t xml:space="preserve"> to treatment based on clinical, radiological and bacteriological assessments (optimally monthly culture in pulmonary cases). </w:t>
      </w:r>
    </w:p>
    <w:p w14:paraId="0B87DF0C" w14:textId="77777777" w:rsidR="00F605B4" w:rsidRPr="0087487B" w:rsidRDefault="00F605B4" w:rsidP="00934C63">
      <w:pPr>
        <w:numPr>
          <w:ilvl w:val="0"/>
          <w:numId w:val="15"/>
        </w:numPr>
        <w:spacing w:before="100" w:beforeAutospacing="1" w:after="100" w:afterAutospacing="1" w:line="240" w:lineRule="auto"/>
        <w:divId w:val="448665177"/>
        <w:rPr>
          <w:rFonts w:eastAsia="Times New Roman"/>
        </w:rPr>
      </w:pPr>
      <w:r w:rsidRPr="0087487B">
        <w:rPr>
          <w:rFonts w:eastAsia="Times New Roman"/>
        </w:rPr>
        <w:t xml:space="preserve">Infection control measures to minimise transmission. </w:t>
      </w:r>
    </w:p>
    <w:p w14:paraId="768485D4" w14:textId="77777777" w:rsidR="00F605B4" w:rsidRPr="0087487B" w:rsidRDefault="00F605B4" w:rsidP="00934C63">
      <w:pPr>
        <w:numPr>
          <w:ilvl w:val="0"/>
          <w:numId w:val="15"/>
        </w:numPr>
        <w:spacing w:before="100" w:beforeAutospacing="1" w:after="100" w:afterAutospacing="1" w:line="240" w:lineRule="auto"/>
        <w:divId w:val="448665177"/>
        <w:rPr>
          <w:rFonts w:eastAsia="Times New Roman"/>
        </w:rPr>
      </w:pPr>
      <w:r w:rsidRPr="0087487B">
        <w:rPr>
          <w:rFonts w:eastAsia="Times New Roman"/>
        </w:rPr>
        <w:t xml:space="preserve">Evaluation of contacts to assess for TB </w:t>
      </w:r>
      <w:proofErr w:type="gramStart"/>
      <w:r w:rsidRPr="0087487B">
        <w:rPr>
          <w:rFonts w:eastAsia="Times New Roman"/>
        </w:rPr>
        <w:t>transmission</w:t>
      </w:r>
      <w:proofErr w:type="gramEnd"/>
      <w:r w:rsidRPr="0087487B">
        <w:rPr>
          <w:rFonts w:eastAsia="Times New Roman"/>
        </w:rPr>
        <w:t xml:space="preserve"> </w:t>
      </w:r>
    </w:p>
    <w:p w14:paraId="550F183D" w14:textId="77777777" w:rsidR="00F605B4" w:rsidRPr="0087487B" w:rsidRDefault="00F605B4" w:rsidP="00934C63">
      <w:pPr>
        <w:numPr>
          <w:ilvl w:val="1"/>
          <w:numId w:val="15"/>
        </w:numPr>
        <w:spacing w:before="100" w:beforeAutospacing="1" w:after="100" w:afterAutospacing="1" w:line="240" w:lineRule="auto"/>
        <w:divId w:val="448665177"/>
        <w:rPr>
          <w:rFonts w:eastAsia="Times New Roman"/>
        </w:rPr>
      </w:pPr>
      <w:r w:rsidRPr="0087487B">
        <w:rPr>
          <w:rFonts w:eastAsia="Times New Roman"/>
        </w:rPr>
        <w:t xml:space="preserve">Identify and treat cases of active </w:t>
      </w:r>
      <w:proofErr w:type="gramStart"/>
      <w:r w:rsidRPr="0087487B">
        <w:rPr>
          <w:rFonts w:eastAsia="Times New Roman"/>
        </w:rPr>
        <w:t>disease</w:t>
      </w:r>
      <w:proofErr w:type="gramEnd"/>
      <w:r w:rsidRPr="0087487B">
        <w:rPr>
          <w:rFonts w:eastAsia="Times New Roman"/>
        </w:rPr>
        <w:t xml:space="preserve"> </w:t>
      </w:r>
    </w:p>
    <w:p w14:paraId="3F21D0AD" w14:textId="77777777" w:rsidR="00F605B4" w:rsidRPr="0087487B" w:rsidRDefault="00F605B4" w:rsidP="00934C63">
      <w:pPr>
        <w:numPr>
          <w:ilvl w:val="1"/>
          <w:numId w:val="15"/>
        </w:numPr>
        <w:spacing w:before="100" w:beforeAutospacing="1" w:after="100" w:afterAutospacing="1" w:line="240" w:lineRule="auto"/>
        <w:divId w:val="448665177"/>
        <w:rPr>
          <w:rFonts w:eastAsia="Times New Roman"/>
        </w:rPr>
      </w:pPr>
      <w:r w:rsidRPr="0087487B">
        <w:rPr>
          <w:rFonts w:eastAsia="Times New Roman"/>
        </w:rPr>
        <w:t xml:space="preserve">Consider preventive therapy in those with evidence of recent infection taking into account the DST of the source case, </w:t>
      </w:r>
      <w:proofErr w:type="gramStart"/>
      <w:r w:rsidRPr="0087487B">
        <w:rPr>
          <w:rFonts w:eastAsia="Times New Roman"/>
        </w:rPr>
        <w:t>e.g.</w:t>
      </w:r>
      <w:proofErr w:type="gramEnd"/>
      <w:r w:rsidRPr="0087487B">
        <w:rPr>
          <w:rFonts w:eastAsia="Times New Roman"/>
        </w:rPr>
        <w:t xml:space="preserve"> fluoroquinolone in MDR-TB contacts. </w:t>
      </w:r>
    </w:p>
    <w:p w14:paraId="0F4F41A3" w14:textId="77777777" w:rsidR="00F605B4" w:rsidRPr="0087487B" w:rsidRDefault="00F605B4" w:rsidP="002E4D6D">
      <w:pPr>
        <w:pStyle w:val="Heading2"/>
        <w:divId w:val="448665177"/>
      </w:pPr>
      <w:r w:rsidRPr="0087487B">
        <w:t xml:space="preserve">Treatment regimen design </w:t>
      </w:r>
    </w:p>
    <w:p w14:paraId="6E95B3F3" w14:textId="77777777" w:rsidR="00F605B4" w:rsidRPr="0087487B" w:rsidRDefault="00F605B4" w:rsidP="001C34D8">
      <w:pPr>
        <w:divId w:val="448665177"/>
      </w:pPr>
      <w:r w:rsidRPr="0087487B">
        <w:t xml:space="preserve">The WHO recommends use of all oral regimens for treatment of MDR-TB, either a shorter course standardised regimen, </w:t>
      </w:r>
      <w:proofErr w:type="gramStart"/>
      <w:r w:rsidRPr="0087487B">
        <w:t>providing</w:t>
      </w:r>
      <w:proofErr w:type="gramEnd"/>
      <w:r w:rsidRPr="0087487B">
        <w:t xml:space="preserve"> certain criteria are met, or a longer duration more individualised regimen, the latter particularly when more extensive disease or resistance is involved.</w:t>
      </w:r>
      <w:r w:rsidRPr="0087487B">
        <w:rPr>
          <w:vertAlign w:val="superscript"/>
        </w:rPr>
        <w:t xml:space="preserve">1 </w:t>
      </w:r>
    </w:p>
    <w:p w14:paraId="002551CA" w14:textId="77777777" w:rsidR="00F605B4" w:rsidRPr="0087487B" w:rsidRDefault="00F605B4" w:rsidP="001C34D8">
      <w:pPr>
        <w:divId w:val="448665177"/>
      </w:pPr>
      <w:r w:rsidRPr="0087487B">
        <w:t xml:space="preserve">Previously there had been concerns over the use of the 9–11 month standardised shorter course approach because of the inclusion of some drugs that may be resistant or had </w:t>
      </w:r>
      <w:proofErr w:type="gramStart"/>
      <w:r w:rsidRPr="0087487B">
        <w:t>been previously used</w:t>
      </w:r>
      <w:proofErr w:type="gramEnd"/>
      <w:r w:rsidRPr="0087487B">
        <w:t xml:space="preserve">. The addition of the newer drug options such as </w:t>
      </w:r>
      <w:proofErr w:type="spellStart"/>
      <w:r w:rsidRPr="0087487B">
        <w:t>bedaquiline</w:t>
      </w:r>
      <w:proofErr w:type="spellEnd"/>
      <w:r w:rsidRPr="0087487B">
        <w:t xml:space="preserve">, linezolid and </w:t>
      </w:r>
      <w:proofErr w:type="spellStart"/>
      <w:r w:rsidRPr="0087487B">
        <w:t>pretomanid</w:t>
      </w:r>
      <w:proofErr w:type="spellEnd"/>
      <w:r w:rsidRPr="0087487B">
        <w:t xml:space="preserve"> </w:t>
      </w:r>
      <w:proofErr w:type="gramStart"/>
      <w:r w:rsidRPr="0087487B">
        <w:t>provides</w:t>
      </w:r>
      <w:proofErr w:type="gramEnd"/>
      <w:r w:rsidRPr="0087487B">
        <w:t xml:space="preserve"> the advantage that effective shorter or longer course regimens can be implemented promptly when rifampicin resistance is first detected and likely remain effective even if fluoroquinolone resistance is subsequently detected. </w:t>
      </w:r>
    </w:p>
    <w:p w14:paraId="32BF6410" w14:textId="77777777" w:rsidR="00F605B4" w:rsidRPr="0087487B" w:rsidRDefault="00F605B4" w:rsidP="00FC1425">
      <w:pPr>
        <w:pStyle w:val="Heading2"/>
        <w:divId w:val="448665177"/>
      </w:pPr>
      <w:r w:rsidRPr="0087487B">
        <w:t xml:space="preserve">Shorter course MDR-TB treatment </w:t>
      </w:r>
    </w:p>
    <w:p w14:paraId="736E7DB2" w14:textId="77777777" w:rsidR="00F605B4" w:rsidRPr="0087487B" w:rsidRDefault="00F605B4" w:rsidP="00DB46AB">
      <w:pPr>
        <w:divId w:val="448665177"/>
      </w:pPr>
      <w:r w:rsidRPr="0087487B">
        <w:t>WHO recommendations now preference the use of a standardised all oral shorter course regimen providing certain criteria are met, particularly that fluoroquinolone susceptibility has been confirmed (</w:t>
      </w:r>
      <w:proofErr w:type="spellStart"/>
      <w:r w:rsidRPr="0087487B">
        <w:t>BPaLM</w:t>
      </w:r>
      <w:proofErr w:type="spellEnd"/>
      <w:r w:rsidRPr="0087487B">
        <w:t xml:space="preserve"> and 9–</w:t>
      </w:r>
      <w:proofErr w:type="gramStart"/>
      <w:r w:rsidRPr="0087487B">
        <w:t>11 month</w:t>
      </w:r>
      <w:proofErr w:type="gramEnd"/>
      <w:r w:rsidRPr="0087487B">
        <w:t xml:space="preserve"> regimens) and that disease is not extensive or severe in nature. </w:t>
      </w:r>
    </w:p>
    <w:p w14:paraId="70D9139E" w14:textId="77777777" w:rsidR="00F605B4" w:rsidRPr="0087487B" w:rsidRDefault="00F605B4" w:rsidP="00FC1425">
      <w:pPr>
        <w:pStyle w:val="Heading2"/>
        <w:divId w:val="448665177"/>
      </w:pPr>
      <w:proofErr w:type="gramStart"/>
      <w:r w:rsidRPr="0087487B">
        <w:t>Six month</w:t>
      </w:r>
      <w:proofErr w:type="gramEnd"/>
      <w:r w:rsidRPr="0087487B">
        <w:t xml:space="preserve"> </w:t>
      </w:r>
      <w:proofErr w:type="spellStart"/>
      <w:r w:rsidRPr="0087487B">
        <w:t>BPaLM</w:t>
      </w:r>
      <w:proofErr w:type="spellEnd"/>
      <w:r w:rsidRPr="0087487B">
        <w:t xml:space="preserve"> regimen (fluoroquinolone susceptible) </w:t>
      </w:r>
    </w:p>
    <w:p w14:paraId="52D27B46" w14:textId="77777777" w:rsidR="00F605B4" w:rsidRPr="0087487B" w:rsidRDefault="00F605B4" w:rsidP="00DB46AB">
      <w:pPr>
        <w:divId w:val="448665177"/>
      </w:pPr>
      <w:r w:rsidRPr="0087487B">
        <w:t xml:space="preserve">More recently (May 2022), based on outcomes from the TB-PRACTECAL study first reported in October 2021, a WHO advisory </w:t>
      </w:r>
      <w:proofErr w:type="gramStart"/>
      <w:r w:rsidRPr="0087487B">
        <w:t>was released</w:t>
      </w:r>
      <w:proofErr w:type="gramEnd"/>
      <w:r w:rsidRPr="0087487B">
        <w:t xml:space="preserve"> supporting implementation of the so termed ‘</w:t>
      </w:r>
      <w:proofErr w:type="spellStart"/>
      <w:r w:rsidRPr="0087487B">
        <w:t>BPaLM</w:t>
      </w:r>
      <w:proofErr w:type="spellEnd"/>
      <w:r w:rsidRPr="0087487B">
        <w:t>’ regimen.</w:t>
      </w:r>
      <w:r w:rsidRPr="0087487B">
        <w:rPr>
          <w:vertAlign w:val="superscript"/>
        </w:rPr>
        <w:t>2</w:t>
      </w:r>
      <w:r w:rsidRPr="0087487B">
        <w:t xml:space="preserve"> The regimen comprises </w:t>
      </w:r>
      <w:proofErr w:type="spellStart"/>
      <w:r w:rsidRPr="0087487B">
        <w:t>bedaquiline</w:t>
      </w:r>
      <w:proofErr w:type="spellEnd"/>
      <w:r w:rsidRPr="0087487B">
        <w:t xml:space="preserve">, </w:t>
      </w:r>
      <w:proofErr w:type="spellStart"/>
      <w:r w:rsidRPr="0087487B">
        <w:t>pretomanid</w:t>
      </w:r>
      <w:proofErr w:type="spellEnd"/>
      <w:r w:rsidRPr="0087487B">
        <w:t xml:space="preserve">, linezolid, and moxifloxacin administered over six months. </w:t>
      </w:r>
    </w:p>
    <w:p w14:paraId="6FD01567" w14:textId="77777777" w:rsidR="00F605B4" w:rsidRPr="0087487B" w:rsidRDefault="00F605B4" w:rsidP="00DB46AB">
      <w:pPr>
        <w:divId w:val="448665177"/>
      </w:pPr>
      <w:r w:rsidRPr="0087487B">
        <w:t xml:space="preserve">The multi-country TB-PRACTECAL study is a randomised controlled trial that has been </w:t>
      </w:r>
      <w:proofErr w:type="gramStart"/>
      <w:r w:rsidRPr="0087487B">
        <w:t>testing</w:t>
      </w:r>
      <w:proofErr w:type="gramEnd"/>
      <w:r w:rsidRPr="0087487B">
        <w:t xml:space="preserve"> the six-month </w:t>
      </w:r>
      <w:proofErr w:type="spellStart"/>
      <w:r w:rsidRPr="0087487B">
        <w:t>BPaLM</w:t>
      </w:r>
      <w:proofErr w:type="spellEnd"/>
      <w:r w:rsidRPr="0087487B">
        <w:t xml:space="preserve"> regimen against the accepted standard of care (SOC) for the particular country. The findings provided to the WHO </w:t>
      </w:r>
      <w:proofErr w:type="gramStart"/>
      <w:r w:rsidRPr="0087487B">
        <w:t>indicate</w:t>
      </w:r>
      <w:proofErr w:type="gramEnd"/>
      <w:r w:rsidRPr="0087487B">
        <w:t xml:space="preserve"> that 89% of patients enrolled in the </w:t>
      </w:r>
      <w:proofErr w:type="spellStart"/>
      <w:r w:rsidRPr="0087487B">
        <w:t>BPaLM</w:t>
      </w:r>
      <w:proofErr w:type="spellEnd"/>
      <w:r w:rsidRPr="0087487B">
        <w:t xml:space="preserve"> arm had been cured versus 52% in the SOC arm. In terms of drug </w:t>
      </w:r>
      <w:r w:rsidRPr="0087487B">
        <w:lastRenderedPageBreak/>
        <w:t xml:space="preserve">safety, severe adverse events were lower in the </w:t>
      </w:r>
      <w:proofErr w:type="spellStart"/>
      <w:r w:rsidRPr="0087487B">
        <w:t>BPaLM</w:t>
      </w:r>
      <w:proofErr w:type="spellEnd"/>
      <w:r w:rsidRPr="0087487B">
        <w:t xml:space="preserve"> group (19%) than the SOC group (59%).</w:t>
      </w:r>
      <w:r w:rsidRPr="0087487B">
        <w:rPr>
          <w:vertAlign w:val="superscript"/>
        </w:rPr>
        <w:t>9</w:t>
      </w:r>
      <w:r w:rsidRPr="0087487B">
        <w:t xml:space="preserve"> Although there were </w:t>
      </w:r>
      <w:proofErr w:type="gramStart"/>
      <w:r w:rsidRPr="0087487B">
        <w:t>initial</w:t>
      </w:r>
      <w:proofErr w:type="gramEnd"/>
      <w:r w:rsidRPr="0087487B">
        <w:t xml:space="preserve"> concerns from animal studies that </w:t>
      </w:r>
      <w:proofErr w:type="spellStart"/>
      <w:r w:rsidRPr="0087487B">
        <w:t>pretomanid</w:t>
      </w:r>
      <w:proofErr w:type="spellEnd"/>
      <w:r w:rsidRPr="0087487B">
        <w:t xml:space="preserve"> caused testicular atrophy and impaired fertility in male rats, new data suggest this potential effect on human male fertility appears unlikely.</w:t>
      </w:r>
      <w:r w:rsidRPr="0087487B">
        <w:rPr>
          <w:vertAlign w:val="superscript"/>
        </w:rPr>
        <w:t>1</w:t>
      </w:r>
      <w:r w:rsidRPr="0087487B">
        <w:t xml:space="preserve"> </w:t>
      </w:r>
    </w:p>
    <w:p w14:paraId="1CD1FC9E" w14:textId="77777777" w:rsidR="00F605B4" w:rsidRPr="0087487B" w:rsidRDefault="00F605B4" w:rsidP="00DB46AB">
      <w:pPr>
        <w:divId w:val="448665177"/>
      </w:pPr>
      <w:r w:rsidRPr="0087487B">
        <w:t xml:space="preserve">The present level of evidence for the </w:t>
      </w:r>
      <w:proofErr w:type="spellStart"/>
      <w:r w:rsidRPr="0087487B">
        <w:t>BPaLM</w:t>
      </w:r>
      <w:proofErr w:type="spellEnd"/>
      <w:r w:rsidRPr="0087487B">
        <w:t xml:space="preserve"> regimen </w:t>
      </w:r>
      <w:proofErr w:type="gramStart"/>
      <w:r w:rsidRPr="0087487B">
        <w:t>is limited</w:t>
      </w:r>
      <w:proofErr w:type="gramEnd"/>
      <w:r w:rsidRPr="0087487B">
        <w:t xml:space="preserve"> to those over 14 years, with no data yet to support its use in pregnancy or severe extra-pulmonary disease such as TB meningitis.</w:t>
      </w:r>
      <w:r w:rsidRPr="0087487B">
        <w:rPr>
          <w:vertAlign w:val="superscript"/>
        </w:rPr>
        <w:t xml:space="preserve">9 </w:t>
      </w:r>
    </w:p>
    <w:p w14:paraId="3ED4F7F7" w14:textId="77777777" w:rsidR="00F605B4" w:rsidRPr="0087487B" w:rsidRDefault="00F605B4">
      <w:pPr>
        <w:pStyle w:val="Heading2"/>
        <w:divId w:val="448665177"/>
        <w:rPr>
          <w:rFonts w:eastAsia="Times New Roman"/>
        </w:rPr>
      </w:pPr>
      <w:r w:rsidRPr="0087487B">
        <w:rPr>
          <w:rFonts w:eastAsia="Times New Roman"/>
        </w:rPr>
        <w:t>6–</w:t>
      </w:r>
      <w:proofErr w:type="gramStart"/>
      <w:r w:rsidRPr="0087487B">
        <w:rPr>
          <w:rFonts w:eastAsia="Times New Roman"/>
        </w:rPr>
        <w:t>9 month</w:t>
      </w:r>
      <w:proofErr w:type="gramEnd"/>
      <w:r w:rsidRPr="0087487B">
        <w:rPr>
          <w:rFonts w:eastAsia="Times New Roman"/>
        </w:rPr>
        <w:t xml:space="preserve"> </w:t>
      </w:r>
      <w:proofErr w:type="spellStart"/>
      <w:r w:rsidRPr="0087487B">
        <w:rPr>
          <w:rFonts w:eastAsia="Times New Roman"/>
        </w:rPr>
        <w:t>BPaL</w:t>
      </w:r>
      <w:proofErr w:type="spellEnd"/>
      <w:r w:rsidRPr="0087487B">
        <w:rPr>
          <w:rFonts w:eastAsia="Times New Roman"/>
        </w:rPr>
        <w:t xml:space="preserve"> regimen (fluoroquinolone resistance) </w:t>
      </w:r>
    </w:p>
    <w:p w14:paraId="0B398BE9" w14:textId="77777777" w:rsidR="00F605B4" w:rsidRPr="0087487B" w:rsidRDefault="00F605B4" w:rsidP="00DB46AB">
      <w:pPr>
        <w:divId w:val="448665177"/>
      </w:pPr>
      <w:r w:rsidRPr="0087487B">
        <w:t xml:space="preserve">The WHO have proposed the </w:t>
      </w:r>
      <w:proofErr w:type="spellStart"/>
      <w:r w:rsidRPr="0087487B">
        <w:t>BPaL</w:t>
      </w:r>
      <w:proofErr w:type="spellEnd"/>
      <w:r w:rsidRPr="0087487B">
        <w:t xml:space="preserve"> regimen comprising </w:t>
      </w:r>
      <w:proofErr w:type="spellStart"/>
      <w:r w:rsidRPr="0087487B">
        <w:t>bedaquiline</w:t>
      </w:r>
      <w:proofErr w:type="spellEnd"/>
      <w:r w:rsidRPr="0087487B">
        <w:t xml:space="preserve">, </w:t>
      </w:r>
      <w:proofErr w:type="spellStart"/>
      <w:r w:rsidRPr="0087487B">
        <w:t>pretomanid</w:t>
      </w:r>
      <w:proofErr w:type="spellEnd"/>
      <w:r w:rsidRPr="0087487B">
        <w:t xml:space="preserve"> and linezolid (600 mg dose) for use over 6–9 months in MDR-TB patients with </w:t>
      </w:r>
      <w:proofErr w:type="gramStart"/>
      <w:r w:rsidRPr="0087487B">
        <w:t>additional</w:t>
      </w:r>
      <w:proofErr w:type="gramEnd"/>
      <w:r w:rsidRPr="0087487B">
        <w:t xml:space="preserve"> resistance to a fluoroquinolone. </w:t>
      </w:r>
      <w:proofErr w:type="gramStart"/>
      <w:r w:rsidRPr="0087487B">
        <w:t>Previous</w:t>
      </w:r>
      <w:proofErr w:type="gramEnd"/>
      <w:r w:rsidRPr="0087487B">
        <w:t xml:space="preserve"> exposure to </w:t>
      </w:r>
      <w:proofErr w:type="spellStart"/>
      <w:r w:rsidRPr="0087487B">
        <w:t>bedaquiline</w:t>
      </w:r>
      <w:proofErr w:type="spellEnd"/>
      <w:r w:rsidRPr="0087487B">
        <w:t xml:space="preserve">, linezolid or </w:t>
      </w:r>
      <w:proofErr w:type="spellStart"/>
      <w:r w:rsidRPr="0087487B">
        <w:t>pretomanid</w:t>
      </w:r>
      <w:proofErr w:type="spellEnd"/>
      <w:r w:rsidRPr="0087487B">
        <w:t xml:space="preserve"> for greater than one month precludes its use unless resistance can be excluded (conditional recommendation, very low certainty in the estimates of effect). Although 90% of people who received the </w:t>
      </w:r>
      <w:proofErr w:type="spellStart"/>
      <w:r w:rsidRPr="0087487B">
        <w:t>BPaL</w:t>
      </w:r>
      <w:proofErr w:type="spellEnd"/>
      <w:r w:rsidRPr="0087487B">
        <w:t xml:space="preserve"> regimen in the Nix study remained free of TB six months after completing treatment, the high frequency of serious side-effects due to the initial use of linezolid in a 1200 mg daily dose was a major limitation (81% peripheral neuropathy, 48% myelosuppression).</w:t>
      </w:r>
      <w:r w:rsidRPr="0087487B">
        <w:rPr>
          <w:vertAlign w:val="superscript"/>
        </w:rPr>
        <w:t>10</w:t>
      </w:r>
      <w:r w:rsidRPr="0087487B">
        <w:t xml:space="preserve"> Follow-up findings from the </w:t>
      </w:r>
      <w:proofErr w:type="spellStart"/>
      <w:r w:rsidRPr="0087487B">
        <w:t>ZeNix</w:t>
      </w:r>
      <w:proofErr w:type="spellEnd"/>
      <w:r w:rsidRPr="0087487B">
        <w:t xml:space="preserve"> study looking at the impact of a reduced daily dose (600 mg) of linezolid suggested no significant reduction in efficacy.</w:t>
      </w:r>
      <w:r w:rsidRPr="0087487B">
        <w:rPr>
          <w:vertAlign w:val="superscript"/>
        </w:rPr>
        <w:t>11</w:t>
      </w:r>
      <w:r w:rsidRPr="0087487B">
        <w:t xml:space="preserve"> The six-month duration can be extended to nine months in the event of a slower (but </w:t>
      </w:r>
      <w:proofErr w:type="spellStart"/>
      <w:r w:rsidRPr="0087487B">
        <w:t>favorable</w:t>
      </w:r>
      <w:proofErr w:type="spellEnd"/>
      <w:r w:rsidRPr="0087487B">
        <w:t xml:space="preserve">) response to treatment. </w:t>
      </w:r>
    </w:p>
    <w:p w14:paraId="39B92091" w14:textId="77777777" w:rsidR="00F605B4" w:rsidRPr="0087487B" w:rsidRDefault="00F605B4" w:rsidP="00DB46AB">
      <w:pPr>
        <w:divId w:val="448665177"/>
      </w:pPr>
      <w:r w:rsidRPr="0087487B">
        <w:t xml:space="preserve">As with the </w:t>
      </w:r>
      <w:proofErr w:type="spellStart"/>
      <w:r w:rsidRPr="0087487B">
        <w:t>BPaLM</w:t>
      </w:r>
      <w:proofErr w:type="spellEnd"/>
      <w:r w:rsidRPr="0087487B">
        <w:t xml:space="preserve"> regimen, use of the </w:t>
      </w:r>
      <w:proofErr w:type="spellStart"/>
      <w:r w:rsidRPr="0087487B">
        <w:t>BPaL</w:t>
      </w:r>
      <w:proofErr w:type="spellEnd"/>
      <w:r w:rsidRPr="0087487B">
        <w:t xml:space="preserve"> regimen is limited to those over 14 </w:t>
      </w:r>
      <w:proofErr w:type="gramStart"/>
      <w:r w:rsidRPr="0087487B">
        <w:t>years, and</w:t>
      </w:r>
      <w:proofErr w:type="gramEnd"/>
      <w:r w:rsidRPr="0087487B">
        <w:t xml:space="preserve"> is not yet advised in pregnancy or severe extra-pulmonary disease. </w:t>
      </w:r>
    </w:p>
    <w:p w14:paraId="0E2339FD" w14:textId="77777777" w:rsidR="00F605B4" w:rsidRPr="0087487B" w:rsidRDefault="00F605B4">
      <w:pPr>
        <w:pStyle w:val="Heading2"/>
        <w:divId w:val="448665177"/>
        <w:rPr>
          <w:rFonts w:eastAsia="Times New Roman"/>
        </w:rPr>
      </w:pPr>
      <w:r w:rsidRPr="0087487B">
        <w:rPr>
          <w:rFonts w:eastAsia="Times New Roman"/>
        </w:rPr>
        <w:t>9–</w:t>
      </w:r>
      <w:proofErr w:type="gramStart"/>
      <w:r w:rsidRPr="0087487B">
        <w:rPr>
          <w:rFonts w:eastAsia="Times New Roman"/>
        </w:rPr>
        <w:t>11 month</w:t>
      </w:r>
      <w:proofErr w:type="gramEnd"/>
      <w:r w:rsidRPr="0087487B">
        <w:rPr>
          <w:rFonts w:eastAsia="Times New Roman"/>
        </w:rPr>
        <w:t xml:space="preserve"> all-oral regimen </w:t>
      </w:r>
    </w:p>
    <w:p w14:paraId="7874542E" w14:textId="77777777" w:rsidR="00F605B4" w:rsidRPr="0087487B" w:rsidRDefault="00F605B4" w:rsidP="00DB46AB">
      <w:pPr>
        <w:divId w:val="448665177"/>
      </w:pPr>
      <w:r w:rsidRPr="0087487B">
        <w:t>This regimen was first introduced in 2016 and known as the ‘Bangladesh’ regimen.</w:t>
      </w:r>
      <w:r w:rsidRPr="0087487B">
        <w:rPr>
          <w:vertAlign w:val="superscript"/>
        </w:rPr>
        <w:t>14</w:t>
      </w:r>
      <w:r w:rsidRPr="0087487B">
        <w:t xml:space="preserve"> The regimen was updated in 2019 with </w:t>
      </w:r>
      <w:proofErr w:type="spellStart"/>
      <w:r w:rsidRPr="0087487B">
        <w:t>bedaquiline</w:t>
      </w:r>
      <w:proofErr w:type="spellEnd"/>
      <w:r w:rsidRPr="0087487B">
        <w:t xml:space="preserve"> replacing the injectable agent amikacin and further modified in 2022 with the advice from WHO that linezolid (600 mg daily) for an initial two months can be considered in preference to ethionamide (or </w:t>
      </w:r>
      <w:proofErr w:type="spellStart"/>
      <w:r w:rsidRPr="0087487B">
        <w:t>prothionamide</w:t>
      </w:r>
      <w:proofErr w:type="spellEnd"/>
      <w:r w:rsidRPr="0087487B">
        <w:t>) for four months.</w:t>
      </w:r>
      <w:r w:rsidRPr="0087487B">
        <w:rPr>
          <w:vertAlign w:val="superscript"/>
        </w:rPr>
        <w:t>1,3</w:t>
      </w:r>
      <w:r w:rsidRPr="0087487B">
        <w:t xml:space="preserve"> The latter update was prompted by data from South Africa which found that replacing ethionamide for four months with linezolid (600 mg daily) for two months had similar efficacy. </w:t>
      </w:r>
    </w:p>
    <w:p w14:paraId="21CE6E89" w14:textId="77777777" w:rsidR="00F605B4" w:rsidRPr="0087487B" w:rsidRDefault="00F605B4" w:rsidP="00DB46AB">
      <w:pPr>
        <w:divId w:val="448665177"/>
      </w:pPr>
      <w:r w:rsidRPr="0087487B">
        <w:t xml:space="preserve">The regimen is </w:t>
      </w:r>
      <w:proofErr w:type="gramStart"/>
      <w:r w:rsidRPr="0087487B">
        <w:t>comprised</w:t>
      </w:r>
      <w:proofErr w:type="gramEnd"/>
      <w:r w:rsidRPr="0087487B">
        <w:t xml:space="preserve"> as follows: </w:t>
      </w:r>
    </w:p>
    <w:p w14:paraId="07734122" w14:textId="77777777" w:rsidR="00F605B4" w:rsidRPr="0087487B" w:rsidRDefault="00F605B4" w:rsidP="00C74D36">
      <w:pPr>
        <w:pStyle w:val="ListParagraph"/>
        <w:numPr>
          <w:ilvl w:val="0"/>
          <w:numId w:val="37"/>
        </w:numPr>
        <w:divId w:val="448665177"/>
      </w:pPr>
      <w:r w:rsidRPr="0087487B">
        <w:t xml:space="preserve">Initial phase (4–6 months): </w:t>
      </w:r>
      <w:proofErr w:type="spellStart"/>
      <w:r w:rsidRPr="0087487B">
        <w:t>bedaquiline</w:t>
      </w:r>
      <w:proofErr w:type="spellEnd"/>
      <w:r w:rsidRPr="0087487B">
        <w:t xml:space="preserve"> (6 months), moxifloxacin or levofloxacin, linezolid (2 months) or ethionamide (4–6) months, clofazimine, isoniazid (high dose, 10–15 mg/kg/day), pyrazinamide, ethambutol </w:t>
      </w:r>
    </w:p>
    <w:p w14:paraId="6B967424" w14:textId="617F0876" w:rsidR="00F605B4" w:rsidRPr="0087487B" w:rsidRDefault="00F605B4" w:rsidP="00C74D36">
      <w:pPr>
        <w:pStyle w:val="ListParagraph"/>
        <w:numPr>
          <w:ilvl w:val="0"/>
          <w:numId w:val="37"/>
        </w:numPr>
        <w:divId w:val="448665177"/>
      </w:pPr>
      <w:r w:rsidRPr="0087487B">
        <w:t>Continuation phase (5 months): moxifloxacin or levofloxacin, clofazimine, pyrazinamide, ethambutol</w:t>
      </w:r>
      <w:r w:rsidR="00C74D36">
        <w:t>.</w:t>
      </w:r>
    </w:p>
    <w:p w14:paraId="05F26B2A" w14:textId="77777777" w:rsidR="00F605B4" w:rsidRPr="0087487B" w:rsidRDefault="00F605B4" w:rsidP="00DB46AB">
      <w:pPr>
        <w:divId w:val="448665177"/>
      </w:pPr>
      <w:r w:rsidRPr="0087487B">
        <w:t xml:space="preserve">The use of the regimen is contingent on meeting the following criteria: </w:t>
      </w:r>
    </w:p>
    <w:p w14:paraId="4005D4E4" w14:textId="77777777" w:rsidR="00F605B4" w:rsidRPr="0087487B" w:rsidRDefault="00F605B4" w:rsidP="00934C63">
      <w:pPr>
        <w:numPr>
          <w:ilvl w:val="0"/>
          <w:numId w:val="16"/>
        </w:numPr>
        <w:spacing w:before="100" w:beforeAutospacing="1" w:after="100" w:afterAutospacing="1" w:line="240" w:lineRule="auto"/>
        <w:divId w:val="448665177"/>
        <w:rPr>
          <w:rFonts w:eastAsia="Times New Roman"/>
        </w:rPr>
      </w:pPr>
      <w:r w:rsidRPr="0087487B">
        <w:rPr>
          <w:rFonts w:eastAsia="Times New Roman"/>
        </w:rPr>
        <w:t xml:space="preserve">excluding resistance to the fluoroquinolone </w:t>
      </w:r>
    </w:p>
    <w:p w14:paraId="3AC5163B" w14:textId="77777777" w:rsidR="00F605B4" w:rsidRPr="0087487B" w:rsidRDefault="00F605B4" w:rsidP="00934C63">
      <w:pPr>
        <w:numPr>
          <w:ilvl w:val="0"/>
          <w:numId w:val="16"/>
        </w:numPr>
        <w:spacing w:before="100" w:beforeAutospacing="1" w:after="100" w:afterAutospacing="1" w:line="240" w:lineRule="auto"/>
        <w:divId w:val="448665177"/>
        <w:rPr>
          <w:rFonts w:eastAsia="Times New Roman"/>
        </w:rPr>
      </w:pPr>
      <w:r w:rsidRPr="0087487B">
        <w:rPr>
          <w:rFonts w:eastAsia="Times New Roman"/>
        </w:rPr>
        <w:t xml:space="preserve">no extensive pulmonary or severe extra-pulmonary disease </w:t>
      </w:r>
    </w:p>
    <w:p w14:paraId="35F2A263" w14:textId="77777777" w:rsidR="00F605B4" w:rsidRPr="0087487B" w:rsidRDefault="00F605B4" w:rsidP="00934C63">
      <w:pPr>
        <w:numPr>
          <w:ilvl w:val="0"/>
          <w:numId w:val="16"/>
        </w:numPr>
        <w:spacing w:before="100" w:beforeAutospacing="1" w:after="100" w:afterAutospacing="1" w:line="240" w:lineRule="auto"/>
        <w:divId w:val="448665177"/>
        <w:rPr>
          <w:rFonts w:eastAsia="Times New Roman"/>
        </w:rPr>
      </w:pPr>
      <w:r w:rsidRPr="0087487B">
        <w:rPr>
          <w:rFonts w:eastAsia="Times New Roman"/>
        </w:rPr>
        <w:t xml:space="preserve">unlikely resistance to other drugs except for isoniazid (if a </w:t>
      </w:r>
      <w:proofErr w:type="spellStart"/>
      <w:r w:rsidRPr="0087487B">
        <w:rPr>
          <w:rFonts w:eastAsia="Times New Roman"/>
        </w:rPr>
        <w:t>katG</w:t>
      </w:r>
      <w:proofErr w:type="spellEnd"/>
      <w:r w:rsidRPr="0087487B">
        <w:rPr>
          <w:rFonts w:eastAsia="Times New Roman"/>
        </w:rPr>
        <w:t xml:space="preserve"> mutation is present, high dose isoniazid unlikely to be of benefit) </w:t>
      </w:r>
    </w:p>
    <w:p w14:paraId="384C7859" w14:textId="77777777" w:rsidR="00F605B4" w:rsidRPr="0087487B" w:rsidRDefault="00F605B4" w:rsidP="00934C63">
      <w:pPr>
        <w:numPr>
          <w:ilvl w:val="0"/>
          <w:numId w:val="16"/>
        </w:numPr>
        <w:spacing w:before="100" w:beforeAutospacing="1" w:after="100" w:afterAutospacing="1" w:line="240" w:lineRule="auto"/>
        <w:divId w:val="448665177"/>
        <w:rPr>
          <w:rFonts w:eastAsia="Times New Roman"/>
        </w:rPr>
      </w:pPr>
      <w:r w:rsidRPr="0087487B">
        <w:rPr>
          <w:rFonts w:eastAsia="Times New Roman"/>
        </w:rPr>
        <w:t xml:space="preserve">no </w:t>
      </w:r>
      <w:proofErr w:type="gramStart"/>
      <w:r w:rsidRPr="0087487B">
        <w:rPr>
          <w:rFonts w:eastAsia="Times New Roman"/>
        </w:rPr>
        <w:t>previous</w:t>
      </w:r>
      <w:proofErr w:type="gramEnd"/>
      <w:r w:rsidRPr="0087487B">
        <w:rPr>
          <w:rFonts w:eastAsia="Times New Roman"/>
        </w:rPr>
        <w:t xml:space="preserve"> exposure to second line agents for more than a month and </w:t>
      </w:r>
    </w:p>
    <w:p w14:paraId="68B1B3A3" w14:textId="77777777" w:rsidR="00F605B4" w:rsidRPr="0087487B" w:rsidRDefault="00F605B4" w:rsidP="00934C63">
      <w:pPr>
        <w:numPr>
          <w:ilvl w:val="0"/>
          <w:numId w:val="16"/>
        </w:numPr>
        <w:spacing w:before="100" w:beforeAutospacing="1" w:after="100" w:afterAutospacing="1" w:line="240" w:lineRule="auto"/>
        <w:divId w:val="448665177"/>
        <w:rPr>
          <w:rFonts w:eastAsia="Times New Roman"/>
        </w:rPr>
      </w:pPr>
      <w:r w:rsidRPr="0087487B">
        <w:rPr>
          <w:rFonts w:eastAsia="Times New Roman"/>
        </w:rPr>
        <w:t xml:space="preserve">ethionamide (or </w:t>
      </w:r>
      <w:proofErr w:type="spellStart"/>
      <w:r w:rsidRPr="0087487B">
        <w:rPr>
          <w:rFonts w:eastAsia="Times New Roman"/>
        </w:rPr>
        <w:t>prothionamide</w:t>
      </w:r>
      <w:proofErr w:type="spellEnd"/>
      <w:r w:rsidRPr="0087487B">
        <w:rPr>
          <w:rFonts w:eastAsia="Times New Roman"/>
        </w:rPr>
        <w:t>) is contra-</w:t>
      </w:r>
      <w:proofErr w:type="gramStart"/>
      <w:r w:rsidRPr="0087487B">
        <w:rPr>
          <w:rFonts w:eastAsia="Times New Roman"/>
        </w:rPr>
        <w:t>indicated</w:t>
      </w:r>
      <w:proofErr w:type="gramEnd"/>
      <w:r w:rsidRPr="0087487B">
        <w:rPr>
          <w:rFonts w:eastAsia="Times New Roman"/>
        </w:rPr>
        <w:t xml:space="preserve"> in pregnancy. This all-oral regimen should only </w:t>
      </w:r>
      <w:proofErr w:type="gramStart"/>
      <w:r w:rsidRPr="0087487B">
        <w:rPr>
          <w:rFonts w:eastAsia="Times New Roman"/>
        </w:rPr>
        <w:t>be considered</w:t>
      </w:r>
      <w:proofErr w:type="gramEnd"/>
      <w:r w:rsidRPr="0087487B">
        <w:rPr>
          <w:rFonts w:eastAsia="Times New Roman"/>
        </w:rPr>
        <w:t xml:space="preserve"> in pregnancy if ethionamide is replaced with linezolid. </w:t>
      </w:r>
    </w:p>
    <w:p w14:paraId="04457518" w14:textId="77777777" w:rsidR="00F605B4" w:rsidRPr="0087487B" w:rsidRDefault="00F605B4" w:rsidP="00DB46AB">
      <w:pPr>
        <w:divId w:val="448665177"/>
      </w:pPr>
      <w:r w:rsidRPr="0087487B">
        <w:t xml:space="preserve">With the introduction of </w:t>
      </w:r>
      <w:proofErr w:type="spellStart"/>
      <w:r w:rsidRPr="0087487B">
        <w:t>bedaquiline</w:t>
      </w:r>
      <w:proofErr w:type="spellEnd"/>
      <w:r w:rsidRPr="0087487B">
        <w:t>, it is important to be mindful of the 1–</w:t>
      </w:r>
      <w:proofErr w:type="gramStart"/>
      <w:r w:rsidRPr="0087487B">
        <w:t>2 week</w:t>
      </w:r>
      <w:proofErr w:type="gramEnd"/>
      <w:r w:rsidRPr="0087487B">
        <w:t xml:space="preserve"> period required to achieve a therapeutic drug level and hence the importance of drug susceptibility testing to exclude additional resistance. The early use of linezolid strengthens the regimen. A further issue of which to be mindful is that, if treatment is interrupted for a protracted period particularly in the earlier stages, the long half-life of </w:t>
      </w:r>
      <w:proofErr w:type="spellStart"/>
      <w:r w:rsidRPr="0087487B">
        <w:t>bedaquiline</w:t>
      </w:r>
      <w:proofErr w:type="spellEnd"/>
      <w:r w:rsidRPr="0087487B">
        <w:t xml:space="preserve"> (6 months) can effectively result in monotherapy with a consequent risk of </w:t>
      </w:r>
      <w:proofErr w:type="gramStart"/>
      <w:r w:rsidRPr="0087487B">
        <w:t>acquired</w:t>
      </w:r>
      <w:proofErr w:type="gramEnd"/>
      <w:r w:rsidRPr="0087487B">
        <w:t xml:space="preserve"> resistance. This latter concern applies equally in other regimens. </w:t>
      </w:r>
    </w:p>
    <w:p w14:paraId="77A9DD60" w14:textId="77777777" w:rsidR="00F605B4" w:rsidRPr="0087487B" w:rsidRDefault="00F605B4" w:rsidP="00DB46AB">
      <w:pPr>
        <w:divId w:val="448665177"/>
      </w:pPr>
      <w:r w:rsidRPr="0087487B">
        <w:lastRenderedPageBreak/>
        <w:t>The ATS/CDC/ERS/IDSA guidelines make no definitive recommendation for or against the use of the 9–11 month shorter course regimen.</w:t>
      </w:r>
      <w:r w:rsidRPr="0087487B">
        <w:rPr>
          <w:vertAlign w:val="superscript"/>
        </w:rPr>
        <w:t>5</w:t>
      </w:r>
      <w:r w:rsidRPr="0087487B">
        <w:t xml:space="preserve"> In making this determination they reviewed the impact of applying the eligibility criteria to the individual patient data meta-analysis (IPDMA) data and found only 15% would have qualified for use of this shorter course regimen. Similar findings have been reported elsewhere.</w:t>
      </w:r>
      <w:r w:rsidRPr="0087487B">
        <w:rPr>
          <w:vertAlign w:val="superscript"/>
        </w:rPr>
        <w:t>20–</w:t>
      </w:r>
      <w:proofErr w:type="gramStart"/>
      <w:r w:rsidRPr="0087487B">
        <w:rPr>
          <w:vertAlign w:val="superscript"/>
        </w:rPr>
        <w:t>22</w:t>
      </w:r>
      <w:proofErr w:type="gramEnd"/>
      <w:r w:rsidRPr="0087487B">
        <w:t xml:space="preserve"> </w:t>
      </w:r>
    </w:p>
    <w:p w14:paraId="4A9EACE7" w14:textId="77777777" w:rsidR="00F605B4" w:rsidRPr="0087487B" w:rsidRDefault="00F605B4" w:rsidP="00DB46AB">
      <w:pPr>
        <w:divId w:val="448665177"/>
      </w:pPr>
      <w:r w:rsidRPr="0087487B">
        <w:t>In the Australian setting, the shorter course 9–</w:t>
      </w:r>
      <w:proofErr w:type="gramStart"/>
      <w:r w:rsidRPr="0087487B">
        <w:t>11 month</w:t>
      </w:r>
      <w:proofErr w:type="gramEnd"/>
      <w:r w:rsidRPr="0087487B">
        <w:t xml:space="preserve"> MDR-TB regimen has not been widely adopted and this may reflect some of the concerns regarding its effectiveness, particularly when there is additional resistance (excepting isoniazid). </w:t>
      </w:r>
    </w:p>
    <w:p w14:paraId="445BEBAA" w14:textId="77777777" w:rsidR="00F605B4" w:rsidRPr="0087487B" w:rsidRDefault="00F605B4">
      <w:pPr>
        <w:pStyle w:val="Heading3"/>
        <w:divId w:val="448665177"/>
        <w:rPr>
          <w:rFonts w:eastAsia="Times New Roman"/>
        </w:rPr>
      </w:pPr>
      <w:r w:rsidRPr="0087487B">
        <w:rPr>
          <w:rFonts w:eastAsia="Times New Roman"/>
        </w:rPr>
        <w:t xml:space="preserve">Recommendations </w:t>
      </w:r>
    </w:p>
    <w:p w14:paraId="544356A0" w14:textId="77777777" w:rsidR="008D0B4B" w:rsidRPr="0087487B" w:rsidRDefault="008D0B4B" w:rsidP="008D0B4B">
      <w:pPr>
        <w:divId w:val="448665177"/>
      </w:pPr>
    </w:p>
    <w:p w14:paraId="791898B3" w14:textId="203DA6BC" w:rsidR="008D0B4B" w:rsidRPr="0087487B" w:rsidRDefault="00C86FAE" w:rsidP="008D0B4B">
      <w:pPr>
        <w:divId w:val="448665177"/>
      </w:pPr>
      <w:r w:rsidRPr="0087487B">
        <w:rPr>
          <w:noProof/>
        </w:rPr>
        <mc:AlternateContent>
          <mc:Choice Requires="wps">
            <w:drawing>
              <wp:inline distT="0" distB="0" distL="0" distR="0" wp14:anchorId="78324825" wp14:editId="12D87101">
                <wp:extent cx="6629400" cy="140462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7ECDD"/>
                        </a:solidFill>
                        <a:ln w="9525">
                          <a:noFill/>
                          <a:miter lim="800000"/>
                          <a:headEnd/>
                          <a:tailEnd/>
                        </a:ln>
                      </wps:spPr>
                      <wps:txbx>
                        <w:txbxContent>
                          <w:p w14:paraId="6CBA526D" w14:textId="77777777" w:rsidR="00A0406E" w:rsidRPr="00B54BFF" w:rsidRDefault="00A0406E" w:rsidP="00934C63">
                            <w:pPr>
                              <w:numPr>
                                <w:ilvl w:val="0"/>
                                <w:numId w:val="17"/>
                              </w:numPr>
                              <w:spacing w:before="100" w:beforeAutospacing="1" w:after="100" w:afterAutospacing="1" w:line="240" w:lineRule="auto"/>
                              <w:rPr>
                                <w:rFonts w:eastAsia="Times New Roman"/>
                              </w:rPr>
                            </w:pPr>
                            <w:r w:rsidRPr="00B54BFF">
                              <w:rPr>
                                <w:rFonts w:eastAsia="Times New Roman"/>
                              </w:rPr>
                              <w:t xml:space="preserve">The 6-month </w:t>
                            </w:r>
                            <w:proofErr w:type="spellStart"/>
                            <w:r w:rsidRPr="00B54BFF">
                              <w:rPr>
                                <w:rFonts w:eastAsia="Times New Roman"/>
                              </w:rPr>
                              <w:t>BPaLM</w:t>
                            </w:r>
                            <w:proofErr w:type="spellEnd"/>
                            <w:r w:rsidRPr="00B54BFF">
                              <w:rPr>
                                <w:rFonts w:eastAsia="Times New Roman"/>
                              </w:rPr>
                              <w:t xml:space="preserve"> regimen be considered for use in most new cases of fluoroquinolone susceptible MDR-TB in accordance with WHO guidance </w:t>
                            </w:r>
                            <w:proofErr w:type="gramStart"/>
                            <w:r w:rsidRPr="00B54BFF">
                              <w:rPr>
                                <w:rFonts w:eastAsia="Times New Roman"/>
                              </w:rPr>
                              <w:t>2022</w:t>
                            </w:r>
                            <w:proofErr w:type="gramEnd"/>
                            <w:r w:rsidRPr="00B54BFF">
                              <w:rPr>
                                <w:rFonts w:eastAsia="Times New Roman"/>
                              </w:rPr>
                              <w:t xml:space="preserve"> </w:t>
                            </w:r>
                          </w:p>
                          <w:p w14:paraId="42F91516" w14:textId="77777777" w:rsidR="00A0406E" w:rsidRPr="00B54BFF" w:rsidRDefault="00A0406E" w:rsidP="00934C63">
                            <w:pPr>
                              <w:numPr>
                                <w:ilvl w:val="0"/>
                                <w:numId w:val="30"/>
                              </w:numPr>
                              <w:spacing w:before="100" w:beforeAutospacing="1" w:after="100" w:afterAutospacing="1" w:line="240" w:lineRule="auto"/>
                              <w:rPr>
                                <w:rFonts w:eastAsia="Times New Roman"/>
                              </w:rPr>
                            </w:pPr>
                            <w:r w:rsidRPr="00B54BFF">
                              <w:rPr>
                                <w:rFonts w:eastAsia="Times New Roman"/>
                              </w:rPr>
                              <w:t xml:space="preserve">comprises </w:t>
                            </w:r>
                            <w:proofErr w:type="spellStart"/>
                            <w:r w:rsidRPr="00B54BFF">
                              <w:rPr>
                                <w:rFonts w:eastAsia="Times New Roman"/>
                              </w:rPr>
                              <w:t>bedaquiline</w:t>
                            </w:r>
                            <w:proofErr w:type="spellEnd"/>
                            <w:r w:rsidRPr="00B54BFF">
                              <w:rPr>
                                <w:rFonts w:eastAsia="Times New Roman"/>
                              </w:rPr>
                              <w:t xml:space="preserve">, </w:t>
                            </w:r>
                            <w:proofErr w:type="spellStart"/>
                            <w:r w:rsidRPr="00B54BFF">
                              <w:rPr>
                                <w:rFonts w:eastAsia="Times New Roman"/>
                              </w:rPr>
                              <w:t>pretomanid</w:t>
                            </w:r>
                            <w:proofErr w:type="spellEnd"/>
                            <w:r w:rsidRPr="00B54BFF">
                              <w:rPr>
                                <w:rFonts w:eastAsia="Times New Roman"/>
                              </w:rPr>
                              <w:t xml:space="preserve">, linezolid (600 mg) and </w:t>
                            </w:r>
                            <w:proofErr w:type="gramStart"/>
                            <w:r w:rsidRPr="00B54BFF">
                              <w:rPr>
                                <w:rFonts w:eastAsia="Times New Roman"/>
                              </w:rPr>
                              <w:t>moxifloxacin</w:t>
                            </w:r>
                            <w:proofErr w:type="gramEnd"/>
                            <w:r w:rsidRPr="00B54BFF">
                              <w:rPr>
                                <w:rFonts w:eastAsia="Times New Roman"/>
                              </w:rPr>
                              <w:t xml:space="preserve"> </w:t>
                            </w:r>
                          </w:p>
                          <w:p w14:paraId="68AABFA3" w14:textId="77777777" w:rsidR="00A0406E" w:rsidRPr="00B54BFF" w:rsidRDefault="00A0406E" w:rsidP="00934C63">
                            <w:pPr>
                              <w:numPr>
                                <w:ilvl w:val="0"/>
                                <w:numId w:val="30"/>
                              </w:numPr>
                              <w:spacing w:before="100" w:beforeAutospacing="1" w:after="100" w:afterAutospacing="1" w:line="240" w:lineRule="auto"/>
                              <w:rPr>
                                <w:rFonts w:eastAsia="Times New Roman"/>
                              </w:rPr>
                            </w:pPr>
                            <w:proofErr w:type="gramStart"/>
                            <w:r w:rsidRPr="00B54BFF">
                              <w:rPr>
                                <w:rFonts w:eastAsia="Times New Roman"/>
                              </w:rPr>
                              <w:t>previous</w:t>
                            </w:r>
                            <w:proofErr w:type="gramEnd"/>
                            <w:r w:rsidRPr="00B54BFF">
                              <w:rPr>
                                <w:rFonts w:eastAsia="Times New Roman"/>
                              </w:rPr>
                              <w:t xml:space="preserve"> exposure to </w:t>
                            </w:r>
                            <w:proofErr w:type="spellStart"/>
                            <w:r w:rsidRPr="00B54BFF">
                              <w:rPr>
                                <w:rFonts w:eastAsia="Times New Roman"/>
                              </w:rPr>
                              <w:t>bedaquiline</w:t>
                            </w:r>
                            <w:proofErr w:type="spellEnd"/>
                            <w:r w:rsidRPr="00B54BFF">
                              <w:rPr>
                                <w:rFonts w:eastAsia="Times New Roman"/>
                              </w:rPr>
                              <w:t xml:space="preserve">, </w:t>
                            </w:r>
                            <w:proofErr w:type="spellStart"/>
                            <w:r w:rsidRPr="00B54BFF">
                              <w:rPr>
                                <w:rFonts w:eastAsia="Times New Roman"/>
                              </w:rPr>
                              <w:t>pretomanid</w:t>
                            </w:r>
                            <w:proofErr w:type="spellEnd"/>
                            <w:r w:rsidRPr="00B54BFF">
                              <w:rPr>
                                <w:rFonts w:eastAsia="Times New Roman"/>
                              </w:rPr>
                              <w:t xml:space="preserve">, or linezolid for greater than 1 month precludes use of this regimen unless resistance is excluded. </w:t>
                            </w:r>
                          </w:p>
                          <w:p w14:paraId="7986B776" w14:textId="77777777" w:rsidR="00A0406E" w:rsidRPr="00B54BFF" w:rsidRDefault="00A0406E" w:rsidP="00934C63">
                            <w:pPr>
                              <w:numPr>
                                <w:ilvl w:val="0"/>
                                <w:numId w:val="17"/>
                              </w:numPr>
                              <w:spacing w:before="100" w:beforeAutospacing="1" w:after="100" w:afterAutospacing="1" w:line="240" w:lineRule="auto"/>
                              <w:rPr>
                                <w:rFonts w:eastAsia="Times New Roman"/>
                              </w:rPr>
                            </w:pPr>
                            <w:r w:rsidRPr="00B54BFF">
                              <w:rPr>
                                <w:rFonts w:eastAsia="Times New Roman"/>
                              </w:rPr>
                              <w:t>The 6–</w:t>
                            </w:r>
                            <w:proofErr w:type="gramStart"/>
                            <w:r w:rsidRPr="00B54BFF">
                              <w:rPr>
                                <w:rFonts w:eastAsia="Times New Roman"/>
                              </w:rPr>
                              <w:t>9 month</w:t>
                            </w:r>
                            <w:proofErr w:type="gramEnd"/>
                            <w:r w:rsidRPr="00B54BFF">
                              <w:rPr>
                                <w:rFonts w:eastAsia="Times New Roman"/>
                              </w:rPr>
                              <w:t xml:space="preserve"> </w:t>
                            </w:r>
                            <w:proofErr w:type="spellStart"/>
                            <w:r w:rsidRPr="00B54BFF">
                              <w:rPr>
                                <w:rFonts w:eastAsia="Times New Roman"/>
                              </w:rPr>
                              <w:t>BPaL</w:t>
                            </w:r>
                            <w:proofErr w:type="spellEnd"/>
                            <w:r w:rsidRPr="00B54BFF">
                              <w:rPr>
                                <w:rFonts w:eastAsia="Times New Roman"/>
                              </w:rPr>
                              <w:t xml:space="preserve"> regimen be considered for use in cases of fluoroquinolone resistant MDR-TB </w:t>
                            </w:r>
                          </w:p>
                          <w:p w14:paraId="4039359C" w14:textId="77777777" w:rsidR="00A0406E" w:rsidRPr="00B54BFF" w:rsidRDefault="00A0406E" w:rsidP="00934C63">
                            <w:pPr>
                              <w:numPr>
                                <w:ilvl w:val="0"/>
                                <w:numId w:val="31"/>
                              </w:numPr>
                              <w:spacing w:before="100" w:beforeAutospacing="1" w:after="100" w:afterAutospacing="1" w:line="240" w:lineRule="auto"/>
                              <w:rPr>
                                <w:rFonts w:eastAsia="Times New Roman"/>
                              </w:rPr>
                            </w:pPr>
                            <w:r w:rsidRPr="00B54BFF">
                              <w:rPr>
                                <w:rFonts w:eastAsia="Times New Roman"/>
                              </w:rPr>
                              <w:t xml:space="preserve">comprises </w:t>
                            </w:r>
                            <w:proofErr w:type="spellStart"/>
                            <w:r w:rsidRPr="00B54BFF">
                              <w:rPr>
                                <w:rFonts w:eastAsia="Times New Roman"/>
                              </w:rPr>
                              <w:t>bedaquiline</w:t>
                            </w:r>
                            <w:proofErr w:type="spellEnd"/>
                            <w:r w:rsidRPr="00B54BFF">
                              <w:rPr>
                                <w:rFonts w:eastAsia="Times New Roman"/>
                              </w:rPr>
                              <w:t xml:space="preserve">, </w:t>
                            </w:r>
                            <w:proofErr w:type="spellStart"/>
                            <w:r w:rsidRPr="00B54BFF">
                              <w:rPr>
                                <w:rFonts w:eastAsia="Times New Roman"/>
                              </w:rPr>
                              <w:t>pretomanid</w:t>
                            </w:r>
                            <w:proofErr w:type="spellEnd"/>
                            <w:r w:rsidRPr="00B54BFF">
                              <w:rPr>
                                <w:rFonts w:eastAsia="Times New Roman"/>
                              </w:rPr>
                              <w:t xml:space="preserve">, linezolid (600 mg) </w:t>
                            </w:r>
                          </w:p>
                          <w:p w14:paraId="6DCA725E" w14:textId="77777777" w:rsidR="00A0406E" w:rsidRPr="00B54BFF" w:rsidRDefault="00A0406E" w:rsidP="00934C63">
                            <w:pPr>
                              <w:numPr>
                                <w:ilvl w:val="0"/>
                                <w:numId w:val="31"/>
                              </w:numPr>
                              <w:spacing w:before="100" w:beforeAutospacing="1" w:after="100" w:afterAutospacing="1" w:line="240" w:lineRule="auto"/>
                              <w:rPr>
                                <w:rFonts w:eastAsia="Times New Roman"/>
                              </w:rPr>
                            </w:pPr>
                            <w:r w:rsidRPr="00B54BFF">
                              <w:rPr>
                                <w:rFonts w:eastAsia="Times New Roman"/>
                              </w:rPr>
                              <w:t xml:space="preserve">9 months can be used if there is a slower but still </w:t>
                            </w:r>
                            <w:proofErr w:type="spellStart"/>
                            <w:r w:rsidRPr="00B54BFF">
                              <w:rPr>
                                <w:rFonts w:eastAsia="Times New Roman"/>
                              </w:rPr>
                              <w:t>favorable</w:t>
                            </w:r>
                            <w:proofErr w:type="spellEnd"/>
                            <w:r w:rsidRPr="00B54BFF">
                              <w:rPr>
                                <w:rFonts w:eastAsia="Times New Roman"/>
                              </w:rPr>
                              <w:t xml:space="preserve"> treatment </w:t>
                            </w:r>
                            <w:proofErr w:type="gramStart"/>
                            <w:r w:rsidRPr="00B54BFF">
                              <w:rPr>
                                <w:rFonts w:eastAsia="Times New Roman"/>
                              </w:rPr>
                              <w:t>response</w:t>
                            </w:r>
                            <w:proofErr w:type="gramEnd"/>
                            <w:r w:rsidRPr="00B54BFF">
                              <w:rPr>
                                <w:rFonts w:eastAsia="Times New Roman"/>
                              </w:rPr>
                              <w:t xml:space="preserve"> </w:t>
                            </w:r>
                          </w:p>
                          <w:p w14:paraId="0A92720B" w14:textId="77777777" w:rsidR="00A0406E" w:rsidRPr="00B54BFF" w:rsidRDefault="00A0406E" w:rsidP="00934C63">
                            <w:pPr>
                              <w:numPr>
                                <w:ilvl w:val="0"/>
                                <w:numId w:val="31"/>
                              </w:numPr>
                              <w:spacing w:before="100" w:beforeAutospacing="1" w:after="100" w:afterAutospacing="1" w:line="240" w:lineRule="auto"/>
                              <w:rPr>
                                <w:rFonts w:eastAsia="Times New Roman"/>
                              </w:rPr>
                            </w:pPr>
                            <w:proofErr w:type="gramStart"/>
                            <w:r w:rsidRPr="00B54BFF">
                              <w:rPr>
                                <w:rFonts w:eastAsia="Times New Roman"/>
                              </w:rPr>
                              <w:t>previous</w:t>
                            </w:r>
                            <w:proofErr w:type="gramEnd"/>
                            <w:r w:rsidRPr="00B54BFF">
                              <w:rPr>
                                <w:rFonts w:eastAsia="Times New Roman"/>
                              </w:rPr>
                              <w:t xml:space="preserve"> exposure to </w:t>
                            </w:r>
                            <w:proofErr w:type="spellStart"/>
                            <w:r w:rsidRPr="00B54BFF">
                              <w:rPr>
                                <w:rFonts w:eastAsia="Times New Roman"/>
                              </w:rPr>
                              <w:t>bedaquiline</w:t>
                            </w:r>
                            <w:proofErr w:type="spellEnd"/>
                            <w:r w:rsidRPr="00B54BFF">
                              <w:rPr>
                                <w:rFonts w:eastAsia="Times New Roman"/>
                              </w:rPr>
                              <w:t xml:space="preserve">, </w:t>
                            </w:r>
                            <w:proofErr w:type="spellStart"/>
                            <w:r w:rsidRPr="00B54BFF">
                              <w:rPr>
                                <w:rFonts w:eastAsia="Times New Roman"/>
                              </w:rPr>
                              <w:t>pretomanid</w:t>
                            </w:r>
                            <w:proofErr w:type="spellEnd"/>
                            <w:r w:rsidRPr="00B54BFF">
                              <w:rPr>
                                <w:rFonts w:eastAsia="Times New Roman"/>
                              </w:rPr>
                              <w:t xml:space="preserve">, or linezolid for greater than 1 month precludes use of this regimen unless resistance is excluded. </w:t>
                            </w:r>
                          </w:p>
                          <w:p w14:paraId="2F2DC712" w14:textId="77777777" w:rsidR="00A0406E" w:rsidRPr="00B54BFF" w:rsidRDefault="00A0406E" w:rsidP="00934C63">
                            <w:pPr>
                              <w:numPr>
                                <w:ilvl w:val="0"/>
                                <w:numId w:val="17"/>
                              </w:numPr>
                              <w:spacing w:before="100" w:beforeAutospacing="1" w:after="100" w:afterAutospacing="1" w:line="240" w:lineRule="auto"/>
                              <w:rPr>
                                <w:rFonts w:eastAsia="Times New Roman"/>
                              </w:rPr>
                            </w:pPr>
                            <w:r w:rsidRPr="00B54BFF">
                              <w:rPr>
                                <w:rFonts w:eastAsia="Times New Roman"/>
                              </w:rPr>
                              <w:t xml:space="preserve">In cases with extensive pulmonary or severe extra-pulmonary disease, use of a longer course regimen is </w:t>
                            </w:r>
                            <w:proofErr w:type="gramStart"/>
                            <w:r w:rsidRPr="00B54BFF">
                              <w:rPr>
                                <w:rFonts w:eastAsia="Times New Roman"/>
                              </w:rPr>
                              <w:t>advised</w:t>
                            </w:r>
                            <w:proofErr w:type="gramEnd"/>
                            <w:r w:rsidRPr="00B54BFF">
                              <w:rPr>
                                <w:rFonts w:eastAsia="Times New Roman"/>
                              </w:rPr>
                              <w:t xml:space="preserve">. </w:t>
                            </w:r>
                          </w:p>
                          <w:p w14:paraId="0A3AC46D" w14:textId="77777777" w:rsidR="00A0406E" w:rsidRPr="00B54BFF" w:rsidRDefault="00A0406E" w:rsidP="00C74D36">
                            <w:pPr>
                              <w:ind w:left="360"/>
                            </w:pPr>
                            <w:r w:rsidRPr="00B54BFF">
                              <w:t xml:space="preserve">Current evidence limits use of the </w:t>
                            </w:r>
                            <w:proofErr w:type="spellStart"/>
                            <w:r w:rsidRPr="00B54BFF">
                              <w:t>BPaLM</w:t>
                            </w:r>
                            <w:proofErr w:type="spellEnd"/>
                            <w:r w:rsidRPr="00B54BFF">
                              <w:t xml:space="preserve"> and </w:t>
                            </w:r>
                            <w:proofErr w:type="spellStart"/>
                            <w:r w:rsidRPr="00B54BFF">
                              <w:t>BPaL</w:t>
                            </w:r>
                            <w:proofErr w:type="spellEnd"/>
                            <w:r w:rsidRPr="00B54BFF">
                              <w:t xml:space="preserve"> regimens to patients who are: </w:t>
                            </w:r>
                          </w:p>
                          <w:p w14:paraId="0B8E36A2" w14:textId="77777777" w:rsidR="00A0406E" w:rsidRPr="00B54BFF"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over 14 years </w:t>
                            </w:r>
                          </w:p>
                          <w:p w14:paraId="69D29EB2" w14:textId="77777777" w:rsidR="00A0406E" w:rsidRPr="00B54BFF"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do not have severe extra-pulmonary </w:t>
                            </w:r>
                            <w:proofErr w:type="gramStart"/>
                            <w:r w:rsidRPr="00B54BFF">
                              <w:rPr>
                                <w:rFonts w:eastAsia="Times New Roman"/>
                              </w:rPr>
                              <w:t>disease</w:t>
                            </w:r>
                            <w:proofErr w:type="gramEnd"/>
                            <w:r w:rsidRPr="00B54BFF">
                              <w:rPr>
                                <w:rFonts w:eastAsia="Times New Roman"/>
                              </w:rPr>
                              <w:t xml:space="preserve"> </w:t>
                            </w:r>
                          </w:p>
                          <w:p w14:paraId="501EF532" w14:textId="77777777" w:rsidR="00A0406E" w:rsidRPr="00B54BFF"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are not pregnant. </w:t>
                            </w:r>
                          </w:p>
                          <w:p w14:paraId="4EB15388" w14:textId="7355E74B" w:rsidR="00A0406E" w:rsidRPr="000C1D22" w:rsidRDefault="00A0406E" w:rsidP="00934C63">
                            <w:pPr>
                              <w:pStyle w:val="ListParagraph"/>
                              <w:numPr>
                                <w:ilvl w:val="0"/>
                                <w:numId w:val="17"/>
                              </w:numPr>
                              <w:spacing w:before="100" w:beforeAutospacing="1" w:after="100" w:afterAutospacing="1" w:line="240" w:lineRule="auto"/>
                              <w:rPr>
                                <w:rFonts w:eastAsia="Times New Roman"/>
                              </w:rPr>
                            </w:pPr>
                            <w:r w:rsidRPr="000C1D22">
                              <w:rPr>
                                <w:rFonts w:eastAsia="Times New Roman"/>
                              </w:rPr>
                              <w:t>The shorter course 9–</w:t>
                            </w:r>
                            <w:proofErr w:type="gramStart"/>
                            <w:r w:rsidRPr="000C1D22">
                              <w:rPr>
                                <w:rFonts w:eastAsia="Times New Roman"/>
                              </w:rPr>
                              <w:t>11 month</w:t>
                            </w:r>
                            <w:proofErr w:type="gramEnd"/>
                            <w:r w:rsidRPr="000C1D22">
                              <w:rPr>
                                <w:rFonts w:eastAsia="Times New Roman"/>
                              </w:rPr>
                              <w:t xml:space="preserve"> all-oral standardised regimen can be considered as an alternative with linezolid for 2 months replacing ethionamide (or </w:t>
                            </w:r>
                            <w:proofErr w:type="spellStart"/>
                            <w:r w:rsidRPr="000C1D22">
                              <w:rPr>
                                <w:rFonts w:eastAsia="Times New Roman"/>
                              </w:rPr>
                              <w:t>prothionamide</w:t>
                            </w:r>
                            <w:proofErr w:type="spellEnd"/>
                            <w:r w:rsidRPr="000C1D22">
                              <w:rPr>
                                <w:rFonts w:eastAsia="Times New Roman"/>
                              </w:rPr>
                              <w:t xml:space="preserve">) for 4 months providing the following criteria are met: </w:t>
                            </w:r>
                          </w:p>
                          <w:p w14:paraId="03DE767B" w14:textId="77777777" w:rsidR="00A0406E" w:rsidRPr="00B54BFF"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fluoroquinolone susceptibility is </w:t>
                            </w:r>
                            <w:proofErr w:type="gramStart"/>
                            <w:r w:rsidRPr="00B54BFF">
                              <w:rPr>
                                <w:rFonts w:eastAsia="Times New Roman"/>
                              </w:rPr>
                              <w:t>confirmed</w:t>
                            </w:r>
                            <w:proofErr w:type="gramEnd"/>
                            <w:r w:rsidRPr="00B54BFF">
                              <w:rPr>
                                <w:rFonts w:eastAsia="Times New Roman"/>
                              </w:rPr>
                              <w:t xml:space="preserve"> </w:t>
                            </w:r>
                          </w:p>
                          <w:p w14:paraId="0873F9A5" w14:textId="77777777" w:rsidR="00A0406E" w:rsidRPr="00B54BFF"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no severe pulmonary or extra-pulmonary disease </w:t>
                            </w:r>
                          </w:p>
                          <w:p w14:paraId="39EA45AD" w14:textId="4F8D8BBB" w:rsidR="00C86FAE" w:rsidRPr="00A0406E"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no </w:t>
                            </w:r>
                            <w:proofErr w:type="gramStart"/>
                            <w:r w:rsidRPr="00B54BFF">
                              <w:rPr>
                                <w:rFonts w:eastAsia="Times New Roman"/>
                              </w:rPr>
                              <w:t>additional</w:t>
                            </w:r>
                            <w:proofErr w:type="gramEnd"/>
                            <w:r w:rsidRPr="00B54BFF">
                              <w:rPr>
                                <w:rFonts w:eastAsia="Times New Roman"/>
                              </w:rPr>
                              <w:t xml:space="preserve"> resistance to other first or second line drugs or previous use for greater than 1 month. </w:t>
                            </w:r>
                          </w:p>
                        </w:txbxContent>
                      </wps:txbx>
                      <wps:bodyPr rot="0" vert="horz" wrap="square" lIns="91440" tIns="45720" rIns="91440" bIns="45720" anchor="t" anchorCtr="0">
                        <a:spAutoFit/>
                      </wps:bodyPr>
                    </wps:wsp>
                  </a:graphicData>
                </a:graphic>
              </wp:inline>
            </w:drawing>
          </mc:Choice>
          <mc:Fallback>
            <w:pict>
              <v:shapetype w14:anchorId="78324825" id="_x0000_t202" coordsize="21600,21600" o:spt="202" path="m,l,21600r21600,l21600,xe">
                <v:stroke joinstyle="miter"/>
                <v:path gradientshapeok="t" o:connecttype="rect"/>
              </v:shapetype>
              <v:shape id="_x0000_s1028"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ulFQIAAP4DAAAOAAAAZHJzL2Uyb0RvYy54bWysk9Fu2yAUhu8n7R0Q94sdy0kbK07VJc00&#10;qesmdXsAjHGMhjkMSOzs6XfAbhp1d9N8gcAHfs75zs/6bugUOQnrJOiSzmcpJUJzqKU+lPTH9/2H&#10;W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" fillcolor="#f7ecdd" stroked="f">
                <v:textbox style="mso-fit-shape-to-text:t">
                  <w:txbxContent>
                    <w:p w14:paraId="6CBA526D" w14:textId="77777777" w:rsidR="00A0406E" w:rsidRPr="00B54BFF" w:rsidRDefault="00A0406E" w:rsidP="00934C63">
                      <w:pPr>
                        <w:numPr>
                          <w:ilvl w:val="0"/>
                          <w:numId w:val="17"/>
                        </w:numPr>
                        <w:spacing w:before="100" w:beforeAutospacing="1" w:after="100" w:afterAutospacing="1" w:line="240" w:lineRule="auto"/>
                        <w:rPr>
                          <w:rFonts w:eastAsia="Times New Roman"/>
                        </w:rPr>
                      </w:pPr>
                      <w:r w:rsidRPr="00B54BFF">
                        <w:rPr>
                          <w:rFonts w:eastAsia="Times New Roman"/>
                        </w:rPr>
                        <w:t xml:space="preserve">The 6-month BPaLM regimen be considered for use in most new cases of fluoroquinolone susceptible MDR-TB in accordance with WHO guidance 2022 </w:t>
                      </w:r>
                    </w:p>
                    <w:p w14:paraId="42F91516" w14:textId="77777777" w:rsidR="00A0406E" w:rsidRPr="00B54BFF" w:rsidRDefault="00A0406E" w:rsidP="00934C63">
                      <w:pPr>
                        <w:numPr>
                          <w:ilvl w:val="0"/>
                          <w:numId w:val="30"/>
                        </w:numPr>
                        <w:spacing w:before="100" w:beforeAutospacing="1" w:after="100" w:afterAutospacing="1" w:line="240" w:lineRule="auto"/>
                        <w:rPr>
                          <w:rFonts w:eastAsia="Times New Roman"/>
                        </w:rPr>
                      </w:pPr>
                      <w:r w:rsidRPr="00B54BFF">
                        <w:rPr>
                          <w:rFonts w:eastAsia="Times New Roman"/>
                        </w:rPr>
                        <w:t xml:space="preserve">comprises bedaquiline, pretomanid, linezolid (600 mg) and moxifloxacin </w:t>
                      </w:r>
                    </w:p>
                    <w:p w14:paraId="68AABFA3" w14:textId="77777777" w:rsidR="00A0406E" w:rsidRPr="00B54BFF" w:rsidRDefault="00A0406E" w:rsidP="00934C63">
                      <w:pPr>
                        <w:numPr>
                          <w:ilvl w:val="0"/>
                          <w:numId w:val="30"/>
                        </w:numPr>
                        <w:spacing w:before="100" w:beforeAutospacing="1" w:after="100" w:afterAutospacing="1" w:line="240" w:lineRule="auto"/>
                        <w:rPr>
                          <w:rFonts w:eastAsia="Times New Roman"/>
                        </w:rPr>
                      </w:pPr>
                      <w:r w:rsidRPr="00B54BFF">
                        <w:rPr>
                          <w:rFonts w:eastAsia="Times New Roman"/>
                        </w:rPr>
                        <w:t xml:space="preserve">previous exposure to bedaquiline, pretomanid, or linezolid for greater than 1 month precludes use of this regimen unless resistance is excluded. </w:t>
                      </w:r>
                    </w:p>
                    <w:p w14:paraId="7986B776" w14:textId="77777777" w:rsidR="00A0406E" w:rsidRPr="00B54BFF" w:rsidRDefault="00A0406E" w:rsidP="00934C63">
                      <w:pPr>
                        <w:numPr>
                          <w:ilvl w:val="0"/>
                          <w:numId w:val="17"/>
                        </w:numPr>
                        <w:spacing w:before="100" w:beforeAutospacing="1" w:after="100" w:afterAutospacing="1" w:line="240" w:lineRule="auto"/>
                        <w:rPr>
                          <w:rFonts w:eastAsia="Times New Roman"/>
                        </w:rPr>
                      </w:pPr>
                      <w:r w:rsidRPr="00B54BFF">
                        <w:rPr>
                          <w:rFonts w:eastAsia="Times New Roman"/>
                        </w:rPr>
                        <w:t xml:space="preserve">The 6–9 month BPaL regimen be considered for use in cases of fluoroquinolone resistant MDR-TB </w:t>
                      </w:r>
                    </w:p>
                    <w:p w14:paraId="4039359C" w14:textId="77777777" w:rsidR="00A0406E" w:rsidRPr="00B54BFF" w:rsidRDefault="00A0406E" w:rsidP="00934C63">
                      <w:pPr>
                        <w:numPr>
                          <w:ilvl w:val="0"/>
                          <w:numId w:val="31"/>
                        </w:numPr>
                        <w:spacing w:before="100" w:beforeAutospacing="1" w:after="100" w:afterAutospacing="1" w:line="240" w:lineRule="auto"/>
                        <w:rPr>
                          <w:rFonts w:eastAsia="Times New Roman"/>
                        </w:rPr>
                      </w:pPr>
                      <w:r w:rsidRPr="00B54BFF">
                        <w:rPr>
                          <w:rFonts w:eastAsia="Times New Roman"/>
                        </w:rPr>
                        <w:t xml:space="preserve">comprises bedaquiline, pretomanid, linezolid (600 mg) </w:t>
                      </w:r>
                    </w:p>
                    <w:p w14:paraId="6DCA725E" w14:textId="77777777" w:rsidR="00A0406E" w:rsidRPr="00B54BFF" w:rsidRDefault="00A0406E" w:rsidP="00934C63">
                      <w:pPr>
                        <w:numPr>
                          <w:ilvl w:val="0"/>
                          <w:numId w:val="31"/>
                        </w:numPr>
                        <w:spacing w:before="100" w:beforeAutospacing="1" w:after="100" w:afterAutospacing="1" w:line="240" w:lineRule="auto"/>
                        <w:rPr>
                          <w:rFonts w:eastAsia="Times New Roman"/>
                        </w:rPr>
                      </w:pPr>
                      <w:r w:rsidRPr="00B54BFF">
                        <w:rPr>
                          <w:rFonts w:eastAsia="Times New Roman"/>
                        </w:rPr>
                        <w:t xml:space="preserve">9 months can be used if there is a slower but still favorable treatment response </w:t>
                      </w:r>
                    </w:p>
                    <w:p w14:paraId="0A92720B" w14:textId="77777777" w:rsidR="00A0406E" w:rsidRPr="00B54BFF" w:rsidRDefault="00A0406E" w:rsidP="00934C63">
                      <w:pPr>
                        <w:numPr>
                          <w:ilvl w:val="0"/>
                          <w:numId w:val="31"/>
                        </w:numPr>
                        <w:spacing w:before="100" w:beforeAutospacing="1" w:after="100" w:afterAutospacing="1" w:line="240" w:lineRule="auto"/>
                        <w:rPr>
                          <w:rFonts w:eastAsia="Times New Roman"/>
                        </w:rPr>
                      </w:pPr>
                      <w:r w:rsidRPr="00B54BFF">
                        <w:rPr>
                          <w:rFonts w:eastAsia="Times New Roman"/>
                        </w:rPr>
                        <w:t xml:space="preserve">previous exposure to bedaquiline, pretomanid, or linezolid for greater than 1 month precludes use of this regimen unless resistance is excluded. </w:t>
                      </w:r>
                    </w:p>
                    <w:p w14:paraId="2F2DC712" w14:textId="77777777" w:rsidR="00A0406E" w:rsidRPr="00B54BFF" w:rsidRDefault="00A0406E" w:rsidP="00934C63">
                      <w:pPr>
                        <w:numPr>
                          <w:ilvl w:val="0"/>
                          <w:numId w:val="17"/>
                        </w:numPr>
                        <w:spacing w:before="100" w:beforeAutospacing="1" w:after="100" w:afterAutospacing="1" w:line="240" w:lineRule="auto"/>
                        <w:rPr>
                          <w:rFonts w:eastAsia="Times New Roman"/>
                        </w:rPr>
                      </w:pPr>
                      <w:r w:rsidRPr="00B54BFF">
                        <w:rPr>
                          <w:rFonts w:eastAsia="Times New Roman"/>
                        </w:rPr>
                        <w:t xml:space="preserve">In cases with extensive pulmonary or severe extra-pulmonary disease, use of a longer course regimen is advised. </w:t>
                      </w:r>
                    </w:p>
                    <w:p w14:paraId="0A3AC46D" w14:textId="77777777" w:rsidR="00A0406E" w:rsidRPr="00B54BFF" w:rsidRDefault="00A0406E" w:rsidP="00C74D36">
                      <w:pPr>
                        <w:ind w:left="360"/>
                      </w:pPr>
                      <w:r w:rsidRPr="00B54BFF">
                        <w:t xml:space="preserve">Current evidence limits use of the BPaLM and BPaL regimens to patients who are: </w:t>
                      </w:r>
                    </w:p>
                    <w:p w14:paraId="0B8E36A2" w14:textId="77777777" w:rsidR="00A0406E" w:rsidRPr="00B54BFF"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over 14 years </w:t>
                      </w:r>
                    </w:p>
                    <w:p w14:paraId="69D29EB2" w14:textId="77777777" w:rsidR="00A0406E" w:rsidRPr="00B54BFF"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do not have severe extra-pulmonary disease </w:t>
                      </w:r>
                    </w:p>
                    <w:p w14:paraId="501EF532" w14:textId="77777777" w:rsidR="00A0406E" w:rsidRPr="00B54BFF"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are not pregnant. </w:t>
                      </w:r>
                    </w:p>
                    <w:p w14:paraId="4EB15388" w14:textId="7355E74B" w:rsidR="00A0406E" w:rsidRPr="000C1D22" w:rsidRDefault="00A0406E" w:rsidP="00934C63">
                      <w:pPr>
                        <w:pStyle w:val="ListParagraph"/>
                        <w:numPr>
                          <w:ilvl w:val="0"/>
                          <w:numId w:val="17"/>
                        </w:numPr>
                        <w:spacing w:before="100" w:beforeAutospacing="1" w:after="100" w:afterAutospacing="1" w:line="240" w:lineRule="auto"/>
                        <w:rPr>
                          <w:rFonts w:eastAsia="Times New Roman"/>
                        </w:rPr>
                      </w:pPr>
                      <w:r w:rsidRPr="000C1D22">
                        <w:rPr>
                          <w:rFonts w:eastAsia="Times New Roman"/>
                        </w:rPr>
                        <w:t xml:space="preserve">The shorter course 9–11 month all-oral standardised regimen can be considered as an alternative with linezolid for 2 months replacing ethionamide (or prothionamide) for 4 months providing the following criteria are met: </w:t>
                      </w:r>
                    </w:p>
                    <w:p w14:paraId="03DE767B" w14:textId="77777777" w:rsidR="00A0406E" w:rsidRPr="00B54BFF"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fluoroquinolone susceptibility is confirmed </w:t>
                      </w:r>
                    </w:p>
                    <w:p w14:paraId="0873F9A5" w14:textId="77777777" w:rsidR="00A0406E" w:rsidRPr="00B54BFF"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no severe pulmonary or extra-pulmonary disease </w:t>
                      </w:r>
                    </w:p>
                    <w:p w14:paraId="39EA45AD" w14:textId="4F8D8BBB" w:rsidR="00C86FAE" w:rsidRPr="00A0406E" w:rsidRDefault="00A0406E" w:rsidP="00934C63">
                      <w:pPr>
                        <w:numPr>
                          <w:ilvl w:val="0"/>
                          <w:numId w:val="18"/>
                        </w:numPr>
                        <w:spacing w:before="100" w:beforeAutospacing="1" w:after="100" w:afterAutospacing="1" w:line="240" w:lineRule="auto"/>
                        <w:rPr>
                          <w:rFonts w:eastAsia="Times New Roman"/>
                        </w:rPr>
                      </w:pPr>
                      <w:r w:rsidRPr="00B54BFF">
                        <w:rPr>
                          <w:rFonts w:eastAsia="Times New Roman"/>
                        </w:rPr>
                        <w:t xml:space="preserve">no additional resistance to other first or second line drugs or previous use for greater than 1 month. </w:t>
                      </w:r>
                    </w:p>
                  </w:txbxContent>
                </v:textbox>
                <w10:anchorlock/>
              </v:shape>
            </w:pict>
          </mc:Fallback>
        </mc:AlternateContent>
      </w:r>
    </w:p>
    <w:p w14:paraId="3D621B03" w14:textId="77777777" w:rsidR="00F605B4" w:rsidRPr="0087487B" w:rsidRDefault="00F605B4" w:rsidP="00DB46AB">
      <w:pPr>
        <w:divId w:val="448665177"/>
      </w:pPr>
      <w:r w:rsidRPr="0087487B">
        <w:t xml:space="preserve">If any of the above regimens cannot be implemented due to not meeting the necessary criteria or in full due to adverse effects or drug interactions, a longer course regimen is </w:t>
      </w:r>
      <w:proofErr w:type="gramStart"/>
      <w:r w:rsidRPr="0087487B">
        <w:t>indicated</w:t>
      </w:r>
      <w:proofErr w:type="gramEnd"/>
      <w:r w:rsidRPr="0087487B">
        <w:t>.</w:t>
      </w:r>
    </w:p>
    <w:p w14:paraId="6F3FB24A" w14:textId="77777777" w:rsidR="00373F47" w:rsidRPr="0087487B" w:rsidRDefault="00373F47">
      <w:pPr>
        <w:rPr>
          <w:rFonts w:asciiTheme="majorHAnsi" w:eastAsia="Times New Roman" w:hAnsiTheme="majorHAnsi" w:cstheme="majorBidi"/>
          <w:b/>
          <w:bCs/>
          <w:sz w:val="26"/>
          <w:szCs w:val="26"/>
        </w:rPr>
      </w:pPr>
      <w:r w:rsidRPr="0087487B">
        <w:rPr>
          <w:rFonts w:eastAsia="Times New Roman"/>
        </w:rPr>
        <w:br w:type="page"/>
      </w:r>
    </w:p>
    <w:p w14:paraId="77B32584" w14:textId="4547D192" w:rsidR="00F605B4" w:rsidRPr="0087487B" w:rsidRDefault="00F605B4">
      <w:pPr>
        <w:pStyle w:val="Heading2"/>
        <w:divId w:val="448665177"/>
        <w:rPr>
          <w:rFonts w:eastAsia="Times New Roman"/>
        </w:rPr>
      </w:pPr>
      <w:r w:rsidRPr="0087487B">
        <w:rPr>
          <w:rFonts w:eastAsia="Times New Roman"/>
        </w:rPr>
        <w:lastRenderedPageBreak/>
        <w:t xml:space="preserve">All-oral longer course regimen </w:t>
      </w:r>
    </w:p>
    <w:p w14:paraId="2EB33A95" w14:textId="02962CBA" w:rsidR="00F605B4" w:rsidRPr="0087487B" w:rsidRDefault="00F605B4" w:rsidP="00DB46AB">
      <w:pPr>
        <w:divId w:val="448665177"/>
      </w:pPr>
      <w:r w:rsidRPr="0087487B">
        <w:t>WHO guidance in 2019 regrouped/reordered the second-line drugs recommended for use in MDR-TB cases (Table</w:t>
      </w:r>
      <w:r w:rsidR="00BD5CDF" w:rsidRPr="0087487B">
        <w:t> </w:t>
      </w:r>
      <w:r w:rsidRPr="0087487B">
        <w:t>3).</w:t>
      </w:r>
      <w:r w:rsidRPr="0087487B">
        <w:rPr>
          <w:vertAlign w:val="superscript"/>
        </w:rPr>
        <w:t>4</w:t>
      </w:r>
      <w:r w:rsidRPr="0087487B">
        <w:t xml:space="preserve"> This reflected a key change in emphasis to the use of an all-oral approach with newer or repurposed drugs based on efficacy evidence and a move away from the longstanding injectable containing regimens because of their unacceptable level of adverse events and associated difficulties in administration over several months. The new guidance also acknowledges the importance of patient preference in this regard.</w:t>
      </w:r>
    </w:p>
    <w:p w14:paraId="77C07EE2" w14:textId="77777777" w:rsidR="0015609C" w:rsidRPr="0087487B" w:rsidRDefault="0015609C" w:rsidP="0015609C">
      <w:pPr>
        <w:pStyle w:val="CDIFigures"/>
        <w:divId w:val="448665177"/>
      </w:pPr>
      <w:bookmarkStart w:id="1" w:name="_Hlk147935940"/>
      <w:r w:rsidRPr="0087487B">
        <w:rPr>
          <w:rStyle w:val="Strong"/>
          <w:b/>
          <w:bCs w:val="0"/>
        </w:rPr>
        <w:t>Table 3: Revised MDR-TB drug groupings and steps to regimen – WHO guidance 2019</w:t>
      </w:r>
      <w:bookmarkEnd w:id="1"/>
      <w:r w:rsidRPr="0087487B">
        <w:rPr>
          <w:rStyle w:val="Strong"/>
          <w:b/>
          <w:bCs w:val="0"/>
          <w:vertAlign w:val="superscript"/>
        </w:rPr>
        <w:t>a</w:t>
      </w:r>
      <w:r w:rsidRPr="0087487B">
        <w:rPr>
          <w:rStyle w:val="Strong"/>
          <w:b/>
          <w:bCs w:val="0"/>
        </w:rPr>
        <w:t xml:space="preserve"> </w:t>
      </w:r>
    </w:p>
    <w:tbl>
      <w:tblPr>
        <w:tblStyle w:val="CDI-StandardTable"/>
        <w:tblW w:w="0" w:type="auto"/>
        <w:tblCellMar>
          <w:top w:w="113" w:type="dxa"/>
          <w:bottom w:w="113" w:type="dxa"/>
        </w:tblCellMar>
        <w:tblLook w:val="04A0" w:firstRow="1" w:lastRow="0" w:firstColumn="1" w:lastColumn="0" w:noHBand="0" w:noVBand="1"/>
        <w:tblDescription w:val="Table 3 provides WHO guidance, current as of 2019, for drug regimens to treat MDR-TB, with inclusion of up to three group A drugs and one or two group B drugs, to be supplemented by one or more drugs from group C as required."/>
      </w:tblPr>
      <w:tblGrid>
        <w:gridCol w:w="4536"/>
        <w:gridCol w:w="5930"/>
      </w:tblGrid>
      <w:tr w:rsidR="0015609C" w:rsidRPr="0087487B" w14:paraId="4D19D323" w14:textId="77777777" w:rsidTr="0015609C">
        <w:trPr>
          <w:cnfStyle w:val="100000000000" w:firstRow="1" w:lastRow="0" w:firstColumn="0" w:lastColumn="0" w:oddVBand="0" w:evenVBand="0" w:oddHBand="0" w:evenHBand="0" w:firstRowFirstColumn="0" w:firstRowLastColumn="0" w:lastRowFirstColumn="0" w:lastRowLastColumn="0"/>
          <w:divId w:val="448665177"/>
        </w:trPr>
        <w:tc>
          <w:tcPr>
            <w:tcW w:w="4536" w:type="dxa"/>
            <w:hideMark/>
          </w:tcPr>
          <w:p w14:paraId="2ED09CAA" w14:textId="77777777" w:rsidR="0015609C" w:rsidRPr="0087487B" w:rsidRDefault="0015609C" w:rsidP="00314B37">
            <w:pPr>
              <w:pStyle w:val="NormalWeb"/>
              <w:jc w:val="left"/>
              <w:rPr>
                <w:sz w:val="18"/>
                <w:szCs w:val="18"/>
              </w:rPr>
            </w:pPr>
            <w:r w:rsidRPr="0087487B">
              <w:rPr>
                <w:sz w:val="18"/>
                <w:szCs w:val="18"/>
              </w:rPr>
              <w:t>Groups and steps</w:t>
            </w:r>
          </w:p>
        </w:tc>
        <w:tc>
          <w:tcPr>
            <w:tcW w:w="5930" w:type="dxa"/>
            <w:hideMark/>
          </w:tcPr>
          <w:p w14:paraId="1416E347" w14:textId="77777777" w:rsidR="0015609C" w:rsidRPr="0087487B" w:rsidRDefault="0015609C" w:rsidP="00314B37">
            <w:pPr>
              <w:pStyle w:val="NormalWeb"/>
              <w:jc w:val="left"/>
              <w:rPr>
                <w:sz w:val="18"/>
                <w:szCs w:val="18"/>
              </w:rPr>
            </w:pPr>
            <w:r w:rsidRPr="0087487B">
              <w:rPr>
                <w:sz w:val="18"/>
                <w:szCs w:val="18"/>
              </w:rPr>
              <w:t>TB medication</w:t>
            </w:r>
          </w:p>
        </w:tc>
      </w:tr>
      <w:tr w:rsidR="0015609C" w:rsidRPr="0087487B" w14:paraId="16138848" w14:textId="77777777" w:rsidTr="0015609C">
        <w:trPr>
          <w:divId w:val="448665177"/>
        </w:trPr>
        <w:tc>
          <w:tcPr>
            <w:tcW w:w="4536" w:type="dxa"/>
            <w:vAlign w:val="top"/>
            <w:hideMark/>
          </w:tcPr>
          <w:p w14:paraId="72C5D654" w14:textId="77777777" w:rsidR="0015609C" w:rsidRPr="0087487B" w:rsidRDefault="0015609C" w:rsidP="00314B37">
            <w:pPr>
              <w:pStyle w:val="NormalWeb"/>
              <w:jc w:val="left"/>
              <w:rPr>
                <w:b/>
                <w:bCs/>
                <w:sz w:val="18"/>
                <w:szCs w:val="18"/>
              </w:rPr>
            </w:pPr>
            <w:r w:rsidRPr="0087487B">
              <w:rPr>
                <w:b/>
                <w:bCs/>
                <w:sz w:val="18"/>
                <w:szCs w:val="18"/>
              </w:rPr>
              <w:t>A</w:t>
            </w:r>
            <w:r w:rsidRPr="0087487B">
              <w:rPr>
                <w:b/>
                <w:bCs/>
                <w:sz w:val="18"/>
                <w:szCs w:val="18"/>
              </w:rPr>
              <w:br/>
              <w:t>Include all three</w:t>
            </w:r>
          </w:p>
        </w:tc>
        <w:tc>
          <w:tcPr>
            <w:tcW w:w="5930" w:type="dxa"/>
            <w:vAlign w:val="top"/>
            <w:hideMark/>
          </w:tcPr>
          <w:p w14:paraId="2ABC54F2" w14:textId="77777777" w:rsidR="0015609C" w:rsidRPr="0087487B" w:rsidRDefault="0015609C" w:rsidP="00314B37">
            <w:pPr>
              <w:pStyle w:val="NormalWeb"/>
              <w:jc w:val="left"/>
              <w:rPr>
                <w:sz w:val="18"/>
                <w:szCs w:val="18"/>
              </w:rPr>
            </w:pPr>
            <w:r w:rsidRPr="0087487B">
              <w:rPr>
                <w:sz w:val="18"/>
                <w:szCs w:val="18"/>
              </w:rPr>
              <w:t>Levofloxacin (</w:t>
            </w:r>
            <w:proofErr w:type="spellStart"/>
            <w:r w:rsidRPr="0087487B">
              <w:rPr>
                <w:sz w:val="18"/>
                <w:szCs w:val="18"/>
              </w:rPr>
              <w:t>Lfx</w:t>
            </w:r>
            <w:proofErr w:type="spellEnd"/>
            <w:r w:rsidRPr="0087487B">
              <w:rPr>
                <w:sz w:val="18"/>
                <w:szCs w:val="18"/>
              </w:rPr>
              <w:t>) or moxifloxacin (</w:t>
            </w:r>
            <w:proofErr w:type="spellStart"/>
            <w:r w:rsidRPr="0087487B">
              <w:rPr>
                <w:sz w:val="18"/>
                <w:szCs w:val="18"/>
              </w:rPr>
              <w:t>Mfx</w:t>
            </w:r>
            <w:proofErr w:type="spellEnd"/>
            <w:r w:rsidRPr="0087487B">
              <w:rPr>
                <w:sz w:val="18"/>
                <w:szCs w:val="18"/>
              </w:rPr>
              <w:t>)</w:t>
            </w:r>
            <w:r w:rsidRPr="0087487B">
              <w:rPr>
                <w:sz w:val="18"/>
                <w:szCs w:val="18"/>
              </w:rPr>
              <w:br/>
            </w:r>
            <w:proofErr w:type="spellStart"/>
            <w:r w:rsidRPr="0087487B">
              <w:rPr>
                <w:sz w:val="18"/>
                <w:szCs w:val="18"/>
              </w:rPr>
              <w:t>Bedaquiline</w:t>
            </w:r>
            <w:proofErr w:type="spellEnd"/>
            <w:r w:rsidRPr="0087487B">
              <w:rPr>
                <w:sz w:val="18"/>
                <w:szCs w:val="18"/>
              </w:rPr>
              <w:t xml:space="preserve"> (</w:t>
            </w:r>
            <w:proofErr w:type="spellStart"/>
            <w:r w:rsidRPr="0087487B">
              <w:rPr>
                <w:sz w:val="18"/>
                <w:szCs w:val="18"/>
              </w:rPr>
              <w:t>Bdq</w:t>
            </w:r>
            <w:proofErr w:type="spellEnd"/>
            <w:r w:rsidRPr="0087487B">
              <w:rPr>
                <w:sz w:val="18"/>
                <w:szCs w:val="18"/>
              </w:rPr>
              <w:t>)</w:t>
            </w:r>
            <w:r w:rsidRPr="0087487B">
              <w:rPr>
                <w:sz w:val="18"/>
                <w:szCs w:val="18"/>
              </w:rPr>
              <w:br/>
              <w:t>Linezolid (</w:t>
            </w:r>
            <w:proofErr w:type="spellStart"/>
            <w:r w:rsidRPr="0087487B">
              <w:rPr>
                <w:sz w:val="18"/>
                <w:szCs w:val="18"/>
              </w:rPr>
              <w:t>Lzd</w:t>
            </w:r>
            <w:proofErr w:type="spellEnd"/>
            <w:r w:rsidRPr="0087487B">
              <w:rPr>
                <w:sz w:val="18"/>
                <w:szCs w:val="18"/>
              </w:rPr>
              <w:t>)</w:t>
            </w:r>
          </w:p>
        </w:tc>
      </w:tr>
      <w:tr w:rsidR="0015609C" w:rsidRPr="0087487B" w14:paraId="17A6A76F" w14:textId="77777777" w:rsidTr="0015609C">
        <w:trPr>
          <w:cnfStyle w:val="000000010000" w:firstRow="0" w:lastRow="0" w:firstColumn="0" w:lastColumn="0" w:oddVBand="0" w:evenVBand="0" w:oddHBand="0" w:evenHBand="1" w:firstRowFirstColumn="0" w:firstRowLastColumn="0" w:lastRowFirstColumn="0" w:lastRowLastColumn="0"/>
          <w:divId w:val="448665177"/>
        </w:trPr>
        <w:tc>
          <w:tcPr>
            <w:tcW w:w="4536" w:type="dxa"/>
            <w:vAlign w:val="top"/>
            <w:hideMark/>
          </w:tcPr>
          <w:p w14:paraId="065FE6C2" w14:textId="77777777" w:rsidR="0015609C" w:rsidRPr="0087487B" w:rsidRDefault="0015609C" w:rsidP="00314B37">
            <w:pPr>
              <w:pStyle w:val="NormalWeb"/>
              <w:jc w:val="left"/>
              <w:rPr>
                <w:b/>
                <w:bCs/>
                <w:sz w:val="18"/>
                <w:szCs w:val="18"/>
              </w:rPr>
            </w:pPr>
            <w:r w:rsidRPr="0087487B">
              <w:rPr>
                <w:b/>
                <w:bCs/>
                <w:sz w:val="18"/>
                <w:szCs w:val="18"/>
              </w:rPr>
              <w:t>B</w:t>
            </w:r>
            <w:r w:rsidRPr="0087487B">
              <w:rPr>
                <w:b/>
                <w:bCs/>
                <w:sz w:val="18"/>
                <w:szCs w:val="18"/>
              </w:rPr>
              <w:br/>
              <w:t>Add one or both</w:t>
            </w:r>
          </w:p>
        </w:tc>
        <w:tc>
          <w:tcPr>
            <w:tcW w:w="5930" w:type="dxa"/>
            <w:vAlign w:val="top"/>
            <w:hideMark/>
          </w:tcPr>
          <w:p w14:paraId="28246796" w14:textId="77777777" w:rsidR="0015609C" w:rsidRPr="0087487B" w:rsidRDefault="0015609C" w:rsidP="00314B37">
            <w:pPr>
              <w:pStyle w:val="NormalWeb"/>
              <w:jc w:val="left"/>
              <w:rPr>
                <w:sz w:val="18"/>
                <w:szCs w:val="18"/>
              </w:rPr>
            </w:pPr>
            <w:r w:rsidRPr="0087487B">
              <w:rPr>
                <w:sz w:val="18"/>
                <w:szCs w:val="18"/>
              </w:rPr>
              <w:t>Clofazimine (</w:t>
            </w:r>
            <w:proofErr w:type="spellStart"/>
            <w:r w:rsidRPr="0087487B">
              <w:rPr>
                <w:sz w:val="18"/>
                <w:szCs w:val="18"/>
              </w:rPr>
              <w:t>Cfz</w:t>
            </w:r>
            <w:proofErr w:type="spellEnd"/>
            <w:r w:rsidRPr="0087487B">
              <w:rPr>
                <w:sz w:val="18"/>
                <w:szCs w:val="18"/>
              </w:rPr>
              <w:t>)</w:t>
            </w:r>
            <w:r w:rsidRPr="0087487B">
              <w:rPr>
                <w:sz w:val="18"/>
                <w:szCs w:val="18"/>
              </w:rPr>
              <w:br/>
            </w:r>
            <w:proofErr w:type="spellStart"/>
            <w:r w:rsidRPr="0087487B">
              <w:rPr>
                <w:sz w:val="18"/>
                <w:szCs w:val="18"/>
              </w:rPr>
              <w:t>Cycloserine</w:t>
            </w:r>
            <w:proofErr w:type="spellEnd"/>
            <w:r w:rsidRPr="0087487B">
              <w:rPr>
                <w:sz w:val="18"/>
                <w:szCs w:val="18"/>
              </w:rPr>
              <w:t xml:space="preserve"> (Cs)</w:t>
            </w:r>
          </w:p>
        </w:tc>
      </w:tr>
      <w:tr w:rsidR="0015609C" w:rsidRPr="0087487B" w14:paraId="24E06FBB" w14:textId="77777777" w:rsidTr="0015609C">
        <w:trPr>
          <w:divId w:val="448665177"/>
        </w:trPr>
        <w:tc>
          <w:tcPr>
            <w:tcW w:w="4536" w:type="dxa"/>
            <w:tcBorders>
              <w:bottom w:val="single" w:sz="4" w:space="0" w:color="808080" w:themeColor="background1" w:themeShade="80"/>
            </w:tcBorders>
            <w:vAlign w:val="top"/>
            <w:hideMark/>
          </w:tcPr>
          <w:p w14:paraId="6F71FACE" w14:textId="77777777" w:rsidR="0015609C" w:rsidRPr="0087487B" w:rsidRDefault="0015609C" w:rsidP="00314B37">
            <w:pPr>
              <w:pStyle w:val="NormalWeb"/>
              <w:jc w:val="left"/>
              <w:rPr>
                <w:b/>
                <w:bCs/>
                <w:sz w:val="18"/>
                <w:szCs w:val="18"/>
              </w:rPr>
            </w:pPr>
            <w:r w:rsidRPr="0087487B">
              <w:rPr>
                <w:b/>
                <w:bCs/>
                <w:sz w:val="18"/>
                <w:szCs w:val="18"/>
              </w:rPr>
              <w:t>C</w:t>
            </w:r>
            <w:r w:rsidRPr="0087487B">
              <w:rPr>
                <w:b/>
                <w:bCs/>
                <w:sz w:val="18"/>
                <w:szCs w:val="18"/>
              </w:rPr>
              <w:br/>
              <w:t xml:space="preserve">Add to complete if drugs from A or B </w:t>
            </w:r>
            <w:proofErr w:type="gramStart"/>
            <w:r w:rsidRPr="0087487B">
              <w:rPr>
                <w:b/>
                <w:bCs/>
                <w:sz w:val="18"/>
                <w:szCs w:val="18"/>
              </w:rPr>
              <w:t>can’t</w:t>
            </w:r>
            <w:proofErr w:type="gramEnd"/>
            <w:r w:rsidRPr="0087487B">
              <w:rPr>
                <w:b/>
                <w:bCs/>
                <w:sz w:val="18"/>
                <w:szCs w:val="18"/>
              </w:rPr>
              <w:t xml:space="preserve"> be included</w:t>
            </w:r>
          </w:p>
        </w:tc>
        <w:tc>
          <w:tcPr>
            <w:tcW w:w="5930" w:type="dxa"/>
            <w:tcBorders>
              <w:bottom w:val="single" w:sz="4" w:space="0" w:color="808080" w:themeColor="background1" w:themeShade="80"/>
            </w:tcBorders>
            <w:vAlign w:val="top"/>
            <w:hideMark/>
          </w:tcPr>
          <w:p w14:paraId="02AF947F" w14:textId="77777777" w:rsidR="0015609C" w:rsidRPr="0087487B" w:rsidRDefault="0015609C" w:rsidP="00314B37">
            <w:pPr>
              <w:pStyle w:val="NormalWeb"/>
              <w:jc w:val="left"/>
              <w:rPr>
                <w:sz w:val="18"/>
                <w:szCs w:val="18"/>
              </w:rPr>
            </w:pPr>
            <w:r w:rsidRPr="0087487B">
              <w:rPr>
                <w:sz w:val="18"/>
                <w:szCs w:val="18"/>
              </w:rPr>
              <w:t>Ethambutol (E)</w:t>
            </w:r>
            <w:r w:rsidRPr="0087487B">
              <w:rPr>
                <w:sz w:val="18"/>
                <w:szCs w:val="18"/>
              </w:rPr>
              <w:br/>
              <w:t>Pyrazinamide (Z)</w:t>
            </w:r>
            <w:r w:rsidRPr="0087487B">
              <w:rPr>
                <w:sz w:val="18"/>
                <w:szCs w:val="18"/>
              </w:rPr>
              <w:br/>
            </w:r>
            <w:proofErr w:type="spellStart"/>
            <w:r w:rsidRPr="0087487B">
              <w:rPr>
                <w:sz w:val="18"/>
                <w:szCs w:val="18"/>
              </w:rPr>
              <w:t>Delamanid</w:t>
            </w:r>
            <w:proofErr w:type="spellEnd"/>
            <w:r w:rsidRPr="0087487B">
              <w:rPr>
                <w:sz w:val="18"/>
                <w:szCs w:val="18"/>
              </w:rPr>
              <w:t xml:space="preserve"> (</w:t>
            </w:r>
            <w:proofErr w:type="spellStart"/>
            <w:r w:rsidRPr="0087487B">
              <w:rPr>
                <w:sz w:val="18"/>
                <w:szCs w:val="18"/>
              </w:rPr>
              <w:t>Dlm</w:t>
            </w:r>
            <w:proofErr w:type="spellEnd"/>
            <w:r w:rsidRPr="0087487B">
              <w:rPr>
                <w:sz w:val="18"/>
                <w:szCs w:val="18"/>
              </w:rPr>
              <w:t>)</w:t>
            </w:r>
            <w:r w:rsidRPr="0087487B">
              <w:rPr>
                <w:sz w:val="18"/>
                <w:szCs w:val="18"/>
              </w:rPr>
              <w:br/>
              <w:t>Carbapenem with amoxicillin/clavulanic acid (imipenem-</w:t>
            </w:r>
            <w:proofErr w:type="spellStart"/>
            <w:r w:rsidRPr="0087487B">
              <w:rPr>
                <w:sz w:val="18"/>
                <w:szCs w:val="18"/>
              </w:rPr>
              <w:t>cilastatin</w:t>
            </w:r>
            <w:proofErr w:type="spellEnd"/>
            <w:r w:rsidRPr="0087487B">
              <w:rPr>
                <w:sz w:val="18"/>
                <w:szCs w:val="18"/>
              </w:rPr>
              <w:t xml:space="preserve"> (</w:t>
            </w:r>
            <w:proofErr w:type="spellStart"/>
            <w:r w:rsidRPr="0087487B">
              <w:rPr>
                <w:sz w:val="18"/>
                <w:szCs w:val="18"/>
              </w:rPr>
              <w:t>Ipm-Cln</w:t>
            </w:r>
            <w:proofErr w:type="spellEnd"/>
            <w:r w:rsidRPr="0087487B">
              <w:rPr>
                <w:sz w:val="18"/>
                <w:szCs w:val="18"/>
              </w:rPr>
              <w:t>) or meropenem (</w:t>
            </w:r>
            <w:proofErr w:type="spellStart"/>
            <w:r w:rsidRPr="0087487B">
              <w:rPr>
                <w:sz w:val="18"/>
                <w:szCs w:val="18"/>
              </w:rPr>
              <w:t>Mpm</w:t>
            </w:r>
            <w:proofErr w:type="spellEnd"/>
            <w:r w:rsidRPr="0087487B">
              <w:rPr>
                <w:sz w:val="18"/>
                <w:szCs w:val="18"/>
              </w:rPr>
              <w:t>))</w:t>
            </w:r>
            <w:r w:rsidRPr="0087487B">
              <w:rPr>
                <w:sz w:val="18"/>
                <w:szCs w:val="18"/>
              </w:rPr>
              <w:br/>
              <w:t>Amikacin (</w:t>
            </w:r>
            <w:proofErr w:type="spellStart"/>
            <w:r w:rsidRPr="0087487B">
              <w:rPr>
                <w:sz w:val="18"/>
                <w:szCs w:val="18"/>
              </w:rPr>
              <w:t>Amk</w:t>
            </w:r>
            <w:proofErr w:type="spellEnd"/>
            <w:r w:rsidRPr="0087487B">
              <w:rPr>
                <w:sz w:val="18"/>
                <w:szCs w:val="18"/>
              </w:rPr>
              <w:t>) (or streptomycin)</w:t>
            </w:r>
            <w:r w:rsidRPr="0087487B">
              <w:rPr>
                <w:sz w:val="18"/>
                <w:szCs w:val="18"/>
              </w:rPr>
              <w:br/>
              <w:t>Ethionamide (</w:t>
            </w:r>
            <w:proofErr w:type="spellStart"/>
            <w:r w:rsidRPr="0087487B">
              <w:rPr>
                <w:sz w:val="18"/>
                <w:szCs w:val="18"/>
              </w:rPr>
              <w:t>Eto</w:t>
            </w:r>
            <w:proofErr w:type="spellEnd"/>
            <w:r w:rsidRPr="0087487B">
              <w:rPr>
                <w:sz w:val="18"/>
                <w:szCs w:val="18"/>
              </w:rPr>
              <w:t xml:space="preserve">) or </w:t>
            </w:r>
            <w:proofErr w:type="spellStart"/>
            <w:r w:rsidRPr="0087487B">
              <w:rPr>
                <w:sz w:val="18"/>
                <w:szCs w:val="18"/>
              </w:rPr>
              <w:t>prothionamide</w:t>
            </w:r>
            <w:proofErr w:type="spellEnd"/>
            <w:r w:rsidRPr="0087487B">
              <w:rPr>
                <w:sz w:val="18"/>
                <w:szCs w:val="18"/>
              </w:rPr>
              <w:t xml:space="preserve"> (</w:t>
            </w:r>
            <w:proofErr w:type="spellStart"/>
            <w:r w:rsidRPr="0087487B">
              <w:rPr>
                <w:sz w:val="18"/>
                <w:szCs w:val="18"/>
              </w:rPr>
              <w:t>Pto</w:t>
            </w:r>
            <w:proofErr w:type="spellEnd"/>
            <w:r w:rsidRPr="0087487B">
              <w:rPr>
                <w:sz w:val="18"/>
                <w:szCs w:val="18"/>
              </w:rPr>
              <w:t>)</w:t>
            </w:r>
            <w:r w:rsidRPr="0087487B">
              <w:rPr>
                <w:sz w:val="18"/>
                <w:szCs w:val="18"/>
              </w:rPr>
              <w:br/>
              <w:t>p-</w:t>
            </w:r>
            <w:proofErr w:type="spellStart"/>
            <w:r w:rsidRPr="0087487B">
              <w:rPr>
                <w:sz w:val="18"/>
                <w:szCs w:val="18"/>
              </w:rPr>
              <w:t>aminosalicylic</w:t>
            </w:r>
            <w:proofErr w:type="spellEnd"/>
            <w:r w:rsidRPr="0087487B">
              <w:rPr>
                <w:sz w:val="18"/>
                <w:szCs w:val="18"/>
              </w:rPr>
              <w:t xml:space="preserve"> acid (PAS)</w:t>
            </w:r>
          </w:p>
        </w:tc>
      </w:tr>
    </w:tbl>
    <w:p w14:paraId="3719E705" w14:textId="584D0920" w:rsidR="0015609C" w:rsidRPr="0087487B" w:rsidRDefault="0015609C" w:rsidP="0015609C">
      <w:pPr>
        <w:pStyle w:val="CDIfootnotes"/>
        <w:divId w:val="448665177"/>
      </w:pPr>
      <w:r w:rsidRPr="0087487B">
        <w:t>a</w:t>
      </w:r>
      <w:r w:rsidRPr="0087487B">
        <w:tab/>
        <w:t xml:space="preserve">Source: reference </w:t>
      </w:r>
      <w:proofErr w:type="gramStart"/>
      <w:r w:rsidRPr="0087487B">
        <w:t>4</w:t>
      </w:r>
      <w:proofErr w:type="gramEnd"/>
      <w:r w:rsidRPr="0087487B">
        <w:t>.</w:t>
      </w:r>
    </w:p>
    <w:p w14:paraId="2CDB22E6" w14:textId="77777777" w:rsidR="00F605B4" w:rsidRPr="0087487B" w:rsidRDefault="00F605B4" w:rsidP="00DB46AB">
      <w:pPr>
        <w:divId w:val="448665177"/>
      </w:pPr>
      <w:r w:rsidRPr="0087487B">
        <w:t>The ATS/CDC/ERS/IDSA guidelines are in overall agreement with those of the WHO. However, their drug hierarchy in the ‘Group C’ range is prioritised in a slightly different order, with the injectable agents (amikacin and streptomycin) ranking higher than the remaining oral agents.</w:t>
      </w:r>
      <w:r w:rsidRPr="0087487B">
        <w:rPr>
          <w:vertAlign w:val="superscript"/>
        </w:rPr>
        <w:t>5</w:t>
      </w:r>
      <w:r w:rsidRPr="0087487B">
        <w:t xml:space="preserve"> From a practical perspective, this does not appear to make a significant difference in terms of final selections other than the importance of patient preference. There are also variances between the recommendations in terms of the number of agents to be used in the </w:t>
      </w:r>
      <w:proofErr w:type="gramStart"/>
      <w:r w:rsidRPr="0087487B">
        <w:t>initial</w:t>
      </w:r>
      <w:proofErr w:type="gramEnd"/>
      <w:r w:rsidRPr="0087487B">
        <w:t xml:space="preserve"> (IP) and continuation (CP) phases, and the use of shorter course regimens. A summary of the variances between these two key international guidelines is set out in Table 4. </w:t>
      </w:r>
    </w:p>
    <w:p w14:paraId="55E60413" w14:textId="77777777" w:rsidR="0016006E" w:rsidRPr="0087487B" w:rsidRDefault="0016006E">
      <w:pPr>
        <w:rPr>
          <w:rFonts w:asciiTheme="majorHAnsi" w:eastAsia="Times New Roman" w:hAnsiTheme="majorHAnsi" w:cstheme="majorBidi"/>
          <w:b/>
          <w:bCs/>
        </w:rPr>
      </w:pPr>
      <w:r w:rsidRPr="0087487B">
        <w:rPr>
          <w:rFonts w:eastAsia="Times New Roman"/>
        </w:rPr>
        <w:br w:type="page"/>
      </w:r>
    </w:p>
    <w:p w14:paraId="74372324" w14:textId="77777777" w:rsidR="0016006E" w:rsidRPr="0087487B" w:rsidRDefault="0016006E" w:rsidP="0016006E">
      <w:pPr>
        <w:pStyle w:val="CDIFigures"/>
        <w:divId w:val="448665177"/>
      </w:pPr>
      <w:bookmarkStart w:id="2" w:name="_Hlk147936115"/>
      <w:r w:rsidRPr="0087487B">
        <w:rPr>
          <w:rStyle w:val="Strong"/>
          <w:b/>
          <w:bCs w:val="0"/>
        </w:rPr>
        <w:lastRenderedPageBreak/>
        <w:t>Table 4: Comparison of WHO and ATS/CDC/ERS/IDSA MDR-TB treatment recommendations</w:t>
      </w:r>
      <w:bookmarkEnd w:id="2"/>
    </w:p>
    <w:tbl>
      <w:tblPr>
        <w:tblStyle w:val="CDI-StandardTable"/>
        <w:tblW w:w="0" w:type="auto"/>
        <w:tblCellMar>
          <w:top w:w="113" w:type="dxa"/>
          <w:bottom w:w="113" w:type="dxa"/>
        </w:tblCellMar>
        <w:tblLook w:val="04A0" w:firstRow="1" w:lastRow="0" w:firstColumn="1" w:lastColumn="0" w:noHBand="0" w:noVBand="1"/>
        <w:tblDescription w:val="Table 4 summarises the differences in MDR-TB treatment recommendations, per the WHO guidelines versus those of the ATS/CDC/ERS/IDSA, in the catergories of: number of effective drugs; duration of initial phase; total treatment duration; shorter course regimen for 9–11 months; individualised, empiric or standardised regimen; and recommendations for isoniazid resistant (rifampicin susceptible) and rifampicin resistant (isoniazid susceptible) TB."/>
      </w:tblPr>
      <w:tblGrid>
        <w:gridCol w:w="2181"/>
        <w:gridCol w:w="4089"/>
        <w:gridCol w:w="4196"/>
      </w:tblGrid>
      <w:tr w:rsidR="0016006E" w:rsidRPr="0087487B" w14:paraId="5715EAE3" w14:textId="77777777" w:rsidTr="0016006E">
        <w:trPr>
          <w:cnfStyle w:val="100000000000" w:firstRow="1" w:lastRow="0" w:firstColumn="0" w:lastColumn="0" w:oddVBand="0" w:evenVBand="0" w:oddHBand="0" w:evenHBand="0" w:firstRowFirstColumn="0" w:firstRowLastColumn="0" w:lastRowFirstColumn="0" w:lastRowLastColumn="0"/>
          <w:divId w:val="448665177"/>
        </w:trPr>
        <w:tc>
          <w:tcPr>
            <w:tcW w:w="0" w:type="auto"/>
            <w:vAlign w:val="top"/>
            <w:hideMark/>
          </w:tcPr>
          <w:p w14:paraId="024C1EE8" w14:textId="77777777" w:rsidR="0016006E" w:rsidRPr="0087487B" w:rsidRDefault="0016006E" w:rsidP="00314B37">
            <w:pPr>
              <w:pStyle w:val="NormalWeb"/>
              <w:jc w:val="left"/>
              <w:rPr>
                <w:sz w:val="18"/>
                <w:szCs w:val="18"/>
              </w:rPr>
            </w:pPr>
            <w:r w:rsidRPr="0087487B">
              <w:rPr>
                <w:sz w:val="18"/>
                <w:szCs w:val="18"/>
              </w:rPr>
              <w:t>Category</w:t>
            </w:r>
          </w:p>
        </w:tc>
        <w:tc>
          <w:tcPr>
            <w:tcW w:w="0" w:type="auto"/>
            <w:vAlign w:val="top"/>
            <w:hideMark/>
          </w:tcPr>
          <w:p w14:paraId="3D4A6374" w14:textId="77777777" w:rsidR="0016006E" w:rsidRPr="0087487B" w:rsidRDefault="0016006E" w:rsidP="00314B37">
            <w:pPr>
              <w:pStyle w:val="NormalWeb"/>
              <w:jc w:val="left"/>
              <w:rPr>
                <w:sz w:val="18"/>
                <w:szCs w:val="18"/>
              </w:rPr>
            </w:pPr>
            <w:proofErr w:type="spellStart"/>
            <w:r w:rsidRPr="0087487B">
              <w:rPr>
                <w:sz w:val="18"/>
                <w:szCs w:val="18"/>
              </w:rPr>
              <w:t>WHO</w:t>
            </w:r>
            <w:r w:rsidRPr="0087487B">
              <w:rPr>
                <w:sz w:val="18"/>
                <w:szCs w:val="18"/>
                <w:vertAlign w:val="superscript"/>
              </w:rPr>
              <w:t>a</w:t>
            </w:r>
            <w:proofErr w:type="spellEnd"/>
          </w:p>
        </w:tc>
        <w:tc>
          <w:tcPr>
            <w:tcW w:w="0" w:type="auto"/>
            <w:vAlign w:val="top"/>
            <w:hideMark/>
          </w:tcPr>
          <w:p w14:paraId="69D62352" w14:textId="77777777" w:rsidR="0016006E" w:rsidRPr="0087487B" w:rsidRDefault="0016006E" w:rsidP="00314B37">
            <w:pPr>
              <w:pStyle w:val="NormalWeb"/>
              <w:jc w:val="left"/>
              <w:rPr>
                <w:sz w:val="18"/>
                <w:szCs w:val="18"/>
              </w:rPr>
            </w:pPr>
            <w:r w:rsidRPr="0087487B">
              <w:rPr>
                <w:sz w:val="18"/>
                <w:szCs w:val="18"/>
              </w:rPr>
              <w:t>ATS/CDC/ERS/</w:t>
            </w:r>
            <w:proofErr w:type="spellStart"/>
            <w:r w:rsidRPr="0087487B">
              <w:rPr>
                <w:sz w:val="18"/>
                <w:szCs w:val="18"/>
              </w:rPr>
              <w:t>IDSA</w:t>
            </w:r>
            <w:r w:rsidRPr="0087487B">
              <w:rPr>
                <w:sz w:val="18"/>
                <w:szCs w:val="18"/>
                <w:vertAlign w:val="superscript"/>
              </w:rPr>
              <w:t>a</w:t>
            </w:r>
            <w:proofErr w:type="spellEnd"/>
          </w:p>
        </w:tc>
      </w:tr>
      <w:tr w:rsidR="0016006E" w:rsidRPr="0087487B" w14:paraId="5F1EE1F3" w14:textId="77777777" w:rsidTr="0016006E">
        <w:trPr>
          <w:divId w:val="448665177"/>
        </w:trPr>
        <w:tc>
          <w:tcPr>
            <w:tcW w:w="0" w:type="auto"/>
            <w:vAlign w:val="top"/>
            <w:hideMark/>
          </w:tcPr>
          <w:p w14:paraId="7EE0E818" w14:textId="77777777" w:rsidR="0016006E" w:rsidRPr="0087487B" w:rsidRDefault="0016006E" w:rsidP="00314B37">
            <w:pPr>
              <w:pStyle w:val="NormalWeb"/>
              <w:jc w:val="left"/>
              <w:rPr>
                <w:b/>
                <w:sz w:val="18"/>
                <w:szCs w:val="18"/>
              </w:rPr>
            </w:pPr>
            <w:r w:rsidRPr="0087487B">
              <w:rPr>
                <w:b/>
                <w:sz w:val="18"/>
                <w:szCs w:val="18"/>
              </w:rPr>
              <w:t>Number of effective drugs</w:t>
            </w:r>
          </w:p>
        </w:tc>
        <w:tc>
          <w:tcPr>
            <w:tcW w:w="0" w:type="auto"/>
            <w:vAlign w:val="top"/>
            <w:hideMark/>
          </w:tcPr>
          <w:p w14:paraId="1534D490" w14:textId="77777777" w:rsidR="0016006E" w:rsidRPr="0087487B" w:rsidRDefault="0016006E" w:rsidP="00314B37">
            <w:pPr>
              <w:pStyle w:val="NormalWeb"/>
              <w:jc w:val="left"/>
              <w:rPr>
                <w:sz w:val="18"/>
                <w:szCs w:val="18"/>
              </w:rPr>
            </w:pPr>
            <w:r w:rsidRPr="0087487B">
              <w:rPr>
                <w:sz w:val="18"/>
                <w:szCs w:val="18"/>
              </w:rPr>
              <w:t xml:space="preserve">At least </w:t>
            </w:r>
            <w:proofErr w:type="gramStart"/>
            <w:r w:rsidRPr="0087487B">
              <w:rPr>
                <w:sz w:val="18"/>
                <w:szCs w:val="18"/>
              </w:rPr>
              <w:t>4</w:t>
            </w:r>
            <w:proofErr w:type="gramEnd"/>
            <w:r w:rsidRPr="0087487B">
              <w:rPr>
                <w:sz w:val="18"/>
                <w:szCs w:val="18"/>
              </w:rPr>
              <w:t xml:space="preserve"> drugs initial 6 months</w:t>
            </w:r>
            <w:r w:rsidRPr="0087487B">
              <w:rPr>
                <w:sz w:val="18"/>
                <w:szCs w:val="18"/>
              </w:rPr>
              <w:br/>
              <w:t xml:space="preserve">&amp; 3 drugs after </w:t>
            </w:r>
            <w:proofErr w:type="spellStart"/>
            <w:r w:rsidRPr="0087487B">
              <w:rPr>
                <w:sz w:val="18"/>
                <w:szCs w:val="18"/>
              </w:rPr>
              <w:t>Bdq</w:t>
            </w:r>
            <w:proofErr w:type="spellEnd"/>
            <w:r w:rsidRPr="0087487B">
              <w:rPr>
                <w:sz w:val="18"/>
                <w:szCs w:val="18"/>
              </w:rPr>
              <w:t xml:space="preserve"> ceased</w:t>
            </w:r>
          </w:p>
        </w:tc>
        <w:tc>
          <w:tcPr>
            <w:tcW w:w="0" w:type="auto"/>
            <w:vAlign w:val="top"/>
            <w:hideMark/>
          </w:tcPr>
          <w:p w14:paraId="26CB44E6" w14:textId="77777777" w:rsidR="0016006E" w:rsidRPr="0087487B" w:rsidRDefault="0016006E" w:rsidP="00314B37">
            <w:pPr>
              <w:pStyle w:val="NormalWeb"/>
              <w:jc w:val="left"/>
              <w:rPr>
                <w:sz w:val="18"/>
                <w:szCs w:val="18"/>
              </w:rPr>
            </w:pPr>
            <w:r w:rsidRPr="0087487B">
              <w:rPr>
                <w:sz w:val="18"/>
                <w:szCs w:val="18"/>
              </w:rPr>
              <w:t xml:space="preserve">At least </w:t>
            </w:r>
            <w:proofErr w:type="gramStart"/>
            <w:r w:rsidRPr="0087487B">
              <w:rPr>
                <w:sz w:val="18"/>
                <w:szCs w:val="18"/>
              </w:rPr>
              <w:t>5</w:t>
            </w:r>
            <w:proofErr w:type="gramEnd"/>
            <w:r w:rsidRPr="0087487B">
              <w:rPr>
                <w:sz w:val="18"/>
                <w:szCs w:val="18"/>
              </w:rPr>
              <w:t xml:space="preserve"> drugs initial phase</w:t>
            </w:r>
            <w:r w:rsidRPr="0087487B">
              <w:rPr>
                <w:sz w:val="18"/>
                <w:szCs w:val="18"/>
              </w:rPr>
              <w:br/>
              <w:t>&amp; 4 drugs continuation phase</w:t>
            </w:r>
          </w:p>
        </w:tc>
      </w:tr>
      <w:tr w:rsidR="0016006E" w:rsidRPr="0087487B" w14:paraId="5BC56B9E" w14:textId="77777777" w:rsidTr="0016006E">
        <w:trPr>
          <w:cnfStyle w:val="000000010000" w:firstRow="0" w:lastRow="0" w:firstColumn="0" w:lastColumn="0" w:oddVBand="0" w:evenVBand="0" w:oddHBand="0" w:evenHBand="1" w:firstRowFirstColumn="0" w:firstRowLastColumn="0" w:lastRowFirstColumn="0" w:lastRowLastColumn="0"/>
          <w:divId w:val="448665177"/>
        </w:trPr>
        <w:tc>
          <w:tcPr>
            <w:tcW w:w="0" w:type="auto"/>
            <w:vAlign w:val="top"/>
            <w:hideMark/>
          </w:tcPr>
          <w:p w14:paraId="3ECF2289" w14:textId="77777777" w:rsidR="0016006E" w:rsidRPr="0087487B" w:rsidRDefault="0016006E" w:rsidP="00314B37">
            <w:pPr>
              <w:jc w:val="left"/>
              <w:rPr>
                <w:b/>
                <w:sz w:val="18"/>
                <w:szCs w:val="18"/>
              </w:rPr>
            </w:pPr>
          </w:p>
        </w:tc>
        <w:tc>
          <w:tcPr>
            <w:tcW w:w="0" w:type="auto"/>
            <w:vAlign w:val="top"/>
            <w:hideMark/>
          </w:tcPr>
          <w:p w14:paraId="2B6CB3E4" w14:textId="77777777" w:rsidR="0016006E" w:rsidRPr="0087487B" w:rsidRDefault="0016006E" w:rsidP="00314B37">
            <w:pPr>
              <w:pStyle w:val="NormalWeb"/>
              <w:jc w:val="left"/>
              <w:rPr>
                <w:sz w:val="18"/>
                <w:szCs w:val="18"/>
              </w:rPr>
            </w:pPr>
            <w:r w:rsidRPr="0087487B">
              <w:rPr>
                <w:sz w:val="18"/>
                <w:szCs w:val="18"/>
              </w:rPr>
              <w:t xml:space="preserve">Conditional rec, </w:t>
            </w:r>
            <w:proofErr w:type="gramStart"/>
            <w:r w:rsidRPr="0087487B">
              <w:rPr>
                <w:sz w:val="18"/>
                <w:szCs w:val="18"/>
              </w:rPr>
              <w:t>very low</w:t>
            </w:r>
            <w:proofErr w:type="gramEnd"/>
            <w:r w:rsidRPr="0087487B">
              <w:rPr>
                <w:sz w:val="18"/>
                <w:szCs w:val="18"/>
              </w:rPr>
              <w:t xml:space="preserve"> certainty in the evidence</w:t>
            </w:r>
          </w:p>
        </w:tc>
        <w:tc>
          <w:tcPr>
            <w:tcW w:w="0" w:type="auto"/>
            <w:vAlign w:val="top"/>
            <w:hideMark/>
          </w:tcPr>
          <w:p w14:paraId="043E0EAB" w14:textId="77777777" w:rsidR="0016006E" w:rsidRPr="0087487B" w:rsidRDefault="0016006E" w:rsidP="00314B37">
            <w:pPr>
              <w:pStyle w:val="NormalWeb"/>
              <w:jc w:val="left"/>
              <w:rPr>
                <w:sz w:val="18"/>
                <w:szCs w:val="18"/>
              </w:rPr>
            </w:pPr>
            <w:r w:rsidRPr="0087487B">
              <w:rPr>
                <w:sz w:val="18"/>
                <w:szCs w:val="18"/>
              </w:rPr>
              <w:t xml:space="preserve">Conditional rec, </w:t>
            </w:r>
            <w:proofErr w:type="gramStart"/>
            <w:r w:rsidRPr="0087487B">
              <w:rPr>
                <w:sz w:val="18"/>
                <w:szCs w:val="18"/>
              </w:rPr>
              <w:t>very low</w:t>
            </w:r>
            <w:proofErr w:type="gramEnd"/>
            <w:r w:rsidRPr="0087487B">
              <w:rPr>
                <w:sz w:val="18"/>
                <w:szCs w:val="18"/>
              </w:rPr>
              <w:t xml:space="preserve"> certainty in the evidence</w:t>
            </w:r>
          </w:p>
        </w:tc>
      </w:tr>
      <w:tr w:rsidR="0016006E" w:rsidRPr="0087487B" w14:paraId="0492CA93" w14:textId="77777777" w:rsidTr="0016006E">
        <w:trPr>
          <w:divId w:val="448665177"/>
        </w:trPr>
        <w:tc>
          <w:tcPr>
            <w:tcW w:w="0" w:type="auto"/>
            <w:vAlign w:val="top"/>
            <w:hideMark/>
          </w:tcPr>
          <w:p w14:paraId="3FBE80C3" w14:textId="77777777" w:rsidR="0016006E" w:rsidRPr="0087487B" w:rsidRDefault="0016006E" w:rsidP="00314B37">
            <w:pPr>
              <w:pStyle w:val="NormalWeb"/>
              <w:jc w:val="left"/>
              <w:rPr>
                <w:b/>
                <w:sz w:val="18"/>
                <w:szCs w:val="18"/>
              </w:rPr>
            </w:pPr>
            <w:r w:rsidRPr="0087487B">
              <w:rPr>
                <w:b/>
                <w:sz w:val="18"/>
                <w:szCs w:val="18"/>
              </w:rPr>
              <w:t xml:space="preserve">Duration of </w:t>
            </w:r>
            <w:proofErr w:type="gramStart"/>
            <w:r w:rsidRPr="0087487B">
              <w:rPr>
                <w:b/>
                <w:sz w:val="18"/>
                <w:szCs w:val="18"/>
              </w:rPr>
              <w:t>initial</w:t>
            </w:r>
            <w:proofErr w:type="gramEnd"/>
            <w:r w:rsidRPr="0087487B">
              <w:rPr>
                <w:b/>
                <w:sz w:val="18"/>
                <w:szCs w:val="18"/>
              </w:rPr>
              <w:t xml:space="preserve"> phase</w:t>
            </w:r>
          </w:p>
        </w:tc>
        <w:tc>
          <w:tcPr>
            <w:tcW w:w="0" w:type="auto"/>
            <w:vAlign w:val="top"/>
            <w:hideMark/>
          </w:tcPr>
          <w:p w14:paraId="0A5E960E" w14:textId="77777777" w:rsidR="0016006E" w:rsidRPr="0087487B" w:rsidRDefault="0016006E" w:rsidP="00314B37">
            <w:pPr>
              <w:pStyle w:val="NormalWeb"/>
              <w:jc w:val="left"/>
              <w:rPr>
                <w:sz w:val="18"/>
                <w:szCs w:val="18"/>
              </w:rPr>
            </w:pPr>
            <w:r w:rsidRPr="0087487B">
              <w:rPr>
                <w:sz w:val="18"/>
                <w:szCs w:val="18"/>
              </w:rPr>
              <w:t xml:space="preserve">6 months = </w:t>
            </w:r>
            <w:proofErr w:type="spellStart"/>
            <w:r w:rsidRPr="0087487B">
              <w:rPr>
                <w:sz w:val="18"/>
                <w:szCs w:val="18"/>
              </w:rPr>
              <w:t>Bdq</w:t>
            </w:r>
            <w:proofErr w:type="spellEnd"/>
            <w:r w:rsidRPr="0087487B">
              <w:rPr>
                <w:sz w:val="18"/>
                <w:szCs w:val="18"/>
              </w:rPr>
              <w:t xml:space="preserve"> cessation</w:t>
            </w:r>
          </w:p>
        </w:tc>
        <w:tc>
          <w:tcPr>
            <w:tcW w:w="0" w:type="auto"/>
            <w:vAlign w:val="top"/>
            <w:hideMark/>
          </w:tcPr>
          <w:p w14:paraId="69AF4910" w14:textId="77777777" w:rsidR="0016006E" w:rsidRPr="0087487B" w:rsidRDefault="0016006E" w:rsidP="00314B37">
            <w:pPr>
              <w:pStyle w:val="NormalWeb"/>
              <w:jc w:val="left"/>
              <w:rPr>
                <w:sz w:val="18"/>
                <w:szCs w:val="18"/>
              </w:rPr>
            </w:pPr>
            <w:r w:rsidRPr="0087487B">
              <w:rPr>
                <w:sz w:val="18"/>
                <w:szCs w:val="18"/>
              </w:rPr>
              <w:t>5–7 months after culture conversion</w:t>
            </w:r>
          </w:p>
        </w:tc>
      </w:tr>
      <w:tr w:rsidR="0016006E" w:rsidRPr="0087487B" w14:paraId="05488231" w14:textId="77777777" w:rsidTr="0016006E">
        <w:trPr>
          <w:cnfStyle w:val="000000010000" w:firstRow="0" w:lastRow="0" w:firstColumn="0" w:lastColumn="0" w:oddVBand="0" w:evenVBand="0" w:oddHBand="0" w:evenHBand="1" w:firstRowFirstColumn="0" w:firstRowLastColumn="0" w:lastRowFirstColumn="0" w:lastRowLastColumn="0"/>
          <w:divId w:val="448665177"/>
        </w:trPr>
        <w:tc>
          <w:tcPr>
            <w:tcW w:w="0" w:type="auto"/>
            <w:vAlign w:val="top"/>
            <w:hideMark/>
          </w:tcPr>
          <w:p w14:paraId="0E722220" w14:textId="77777777" w:rsidR="0016006E" w:rsidRPr="0087487B" w:rsidRDefault="0016006E" w:rsidP="00314B37">
            <w:pPr>
              <w:jc w:val="left"/>
              <w:rPr>
                <w:b/>
                <w:sz w:val="18"/>
                <w:szCs w:val="18"/>
              </w:rPr>
            </w:pPr>
          </w:p>
        </w:tc>
        <w:tc>
          <w:tcPr>
            <w:tcW w:w="0" w:type="auto"/>
            <w:vAlign w:val="top"/>
            <w:hideMark/>
          </w:tcPr>
          <w:p w14:paraId="4B93EC5B" w14:textId="77777777" w:rsidR="0016006E" w:rsidRPr="0087487B" w:rsidRDefault="0016006E" w:rsidP="00314B37">
            <w:pPr>
              <w:pStyle w:val="NormalWeb"/>
              <w:jc w:val="left"/>
              <w:rPr>
                <w:sz w:val="18"/>
                <w:szCs w:val="18"/>
              </w:rPr>
            </w:pPr>
            <w:r w:rsidRPr="0087487B">
              <w:rPr>
                <w:sz w:val="18"/>
                <w:szCs w:val="18"/>
              </w:rPr>
              <w:t xml:space="preserve">Use of </w:t>
            </w:r>
            <w:proofErr w:type="spellStart"/>
            <w:r w:rsidRPr="0087487B">
              <w:rPr>
                <w:sz w:val="18"/>
                <w:szCs w:val="18"/>
              </w:rPr>
              <w:t>Bdq</w:t>
            </w:r>
            <w:proofErr w:type="spellEnd"/>
            <w:r w:rsidRPr="0087487B">
              <w:rPr>
                <w:sz w:val="18"/>
                <w:szCs w:val="18"/>
              </w:rPr>
              <w:t xml:space="preserve"> can </w:t>
            </w:r>
            <w:proofErr w:type="gramStart"/>
            <w:r w:rsidRPr="0087487B">
              <w:rPr>
                <w:sz w:val="18"/>
                <w:szCs w:val="18"/>
              </w:rPr>
              <w:t>be extended</w:t>
            </w:r>
            <w:proofErr w:type="gramEnd"/>
            <w:r w:rsidRPr="0087487B">
              <w:rPr>
                <w:sz w:val="18"/>
                <w:szCs w:val="18"/>
              </w:rPr>
              <w:t xml:space="preserve"> ‘off label’</w:t>
            </w:r>
          </w:p>
        </w:tc>
        <w:tc>
          <w:tcPr>
            <w:tcW w:w="0" w:type="auto"/>
            <w:vAlign w:val="top"/>
            <w:hideMark/>
          </w:tcPr>
          <w:p w14:paraId="04DF4AE2" w14:textId="77777777" w:rsidR="0016006E" w:rsidRPr="0087487B" w:rsidRDefault="0016006E" w:rsidP="00314B37">
            <w:pPr>
              <w:pStyle w:val="NormalWeb"/>
              <w:jc w:val="left"/>
              <w:rPr>
                <w:sz w:val="18"/>
                <w:szCs w:val="18"/>
              </w:rPr>
            </w:pPr>
            <w:r w:rsidRPr="0087487B">
              <w:rPr>
                <w:sz w:val="18"/>
                <w:szCs w:val="18"/>
              </w:rPr>
              <w:t xml:space="preserve">Conditional rec, </w:t>
            </w:r>
            <w:proofErr w:type="gramStart"/>
            <w:r w:rsidRPr="0087487B">
              <w:rPr>
                <w:sz w:val="18"/>
                <w:szCs w:val="18"/>
              </w:rPr>
              <w:t>very low</w:t>
            </w:r>
            <w:proofErr w:type="gramEnd"/>
            <w:r w:rsidRPr="0087487B">
              <w:rPr>
                <w:sz w:val="18"/>
                <w:szCs w:val="18"/>
              </w:rPr>
              <w:t xml:space="preserve"> certainty in the evidence</w:t>
            </w:r>
          </w:p>
        </w:tc>
      </w:tr>
      <w:tr w:rsidR="0016006E" w:rsidRPr="0087487B" w14:paraId="3FFF437B" w14:textId="77777777" w:rsidTr="0016006E">
        <w:trPr>
          <w:divId w:val="448665177"/>
        </w:trPr>
        <w:tc>
          <w:tcPr>
            <w:tcW w:w="0" w:type="auto"/>
            <w:vAlign w:val="top"/>
            <w:hideMark/>
          </w:tcPr>
          <w:p w14:paraId="49B74D38" w14:textId="77777777" w:rsidR="0016006E" w:rsidRPr="0087487B" w:rsidRDefault="0016006E" w:rsidP="00314B37">
            <w:pPr>
              <w:pStyle w:val="NormalWeb"/>
              <w:jc w:val="left"/>
              <w:rPr>
                <w:b/>
                <w:sz w:val="18"/>
                <w:szCs w:val="18"/>
              </w:rPr>
            </w:pPr>
            <w:r w:rsidRPr="0087487B">
              <w:rPr>
                <w:b/>
                <w:sz w:val="18"/>
                <w:szCs w:val="18"/>
              </w:rPr>
              <w:t>Total treatment duration</w:t>
            </w:r>
          </w:p>
        </w:tc>
        <w:tc>
          <w:tcPr>
            <w:tcW w:w="0" w:type="auto"/>
            <w:vAlign w:val="top"/>
            <w:hideMark/>
          </w:tcPr>
          <w:p w14:paraId="181A38C2" w14:textId="77777777" w:rsidR="0016006E" w:rsidRPr="0087487B" w:rsidRDefault="0016006E" w:rsidP="00314B37">
            <w:pPr>
              <w:pStyle w:val="NormalWeb"/>
              <w:jc w:val="left"/>
              <w:rPr>
                <w:sz w:val="18"/>
                <w:szCs w:val="18"/>
              </w:rPr>
            </w:pPr>
            <w:r w:rsidRPr="0087487B">
              <w:rPr>
                <w:sz w:val="18"/>
                <w:szCs w:val="18"/>
              </w:rPr>
              <w:t>15–17 months after culture conversion</w:t>
            </w:r>
            <w:r w:rsidRPr="0087487B">
              <w:rPr>
                <w:sz w:val="18"/>
                <w:szCs w:val="18"/>
              </w:rPr>
              <w:br/>
              <w:t>18–20 months duration</w:t>
            </w:r>
          </w:p>
        </w:tc>
        <w:tc>
          <w:tcPr>
            <w:tcW w:w="0" w:type="auto"/>
            <w:vAlign w:val="top"/>
            <w:hideMark/>
          </w:tcPr>
          <w:p w14:paraId="41003508" w14:textId="77777777" w:rsidR="0016006E" w:rsidRPr="0087487B" w:rsidRDefault="0016006E" w:rsidP="00314B37">
            <w:pPr>
              <w:pStyle w:val="NormalWeb"/>
              <w:jc w:val="left"/>
              <w:rPr>
                <w:sz w:val="18"/>
                <w:szCs w:val="18"/>
              </w:rPr>
            </w:pPr>
            <w:r w:rsidRPr="0087487B">
              <w:rPr>
                <w:sz w:val="18"/>
                <w:szCs w:val="18"/>
              </w:rPr>
              <w:t>15–21 months after culture conversion</w:t>
            </w:r>
          </w:p>
        </w:tc>
      </w:tr>
      <w:tr w:rsidR="0016006E" w:rsidRPr="0087487B" w14:paraId="0B575F15" w14:textId="77777777" w:rsidTr="0016006E">
        <w:trPr>
          <w:cnfStyle w:val="000000010000" w:firstRow="0" w:lastRow="0" w:firstColumn="0" w:lastColumn="0" w:oddVBand="0" w:evenVBand="0" w:oddHBand="0" w:evenHBand="1" w:firstRowFirstColumn="0" w:firstRowLastColumn="0" w:lastRowFirstColumn="0" w:lastRowLastColumn="0"/>
          <w:divId w:val="448665177"/>
        </w:trPr>
        <w:tc>
          <w:tcPr>
            <w:tcW w:w="0" w:type="auto"/>
            <w:vAlign w:val="top"/>
            <w:hideMark/>
          </w:tcPr>
          <w:p w14:paraId="3ECC9BC7" w14:textId="77777777" w:rsidR="0016006E" w:rsidRPr="0087487B" w:rsidRDefault="0016006E" w:rsidP="00314B37">
            <w:pPr>
              <w:jc w:val="left"/>
              <w:rPr>
                <w:b/>
                <w:sz w:val="18"/>
                <w:szCs w:val="18"/>
              </w:rPr>
            </w:pPr>
          </w:p>
        </w:tc>
        <w:tc>
          <w:tcPr>
            <w:tcW w:w="0" w:type="auto"/>
            <w:vAlign w:val="top"/>
            <w:hideMark/>
          </w:tcPr>
          <w:p w14:paraId="4A80EFD1" w14:textId="77777777" w:rsidR="0016006E" w:rsidRPr="0087487B" w:rsidRDefault="0016006E" w:rsidP="00314B37">
            <w:pPr>
              <w:pStyle w:val="NormalWeb"/>
              <w:jc w:val="left"/>
              <w:rPr>
                <w:sz w:val="18"/>
                <w:szCs w:val="18"/>
              </w:rPr>
            </w:pPr>
            <w:r w:rsidRPr="0087487B">
              <w:rPr>
                <w:sz w:val="18"/>
                <w:szCs w:val="18"/>
              </w:rPr>
              <w:t xml:space="preserve">Conditional rec, </w:t>
            </w:r>
            <w:proofErr w:type="gramStart"/>
            <w:r w:rsidRPr="0087487B">
              <w:rPr>
                <w:sz w:val="18"/>
                <w:szCs w:val="18"/>
              </w:rPr>
              <w:t>very low</w:t>
            </w:r>
            <w:proofErr w:type="gramEnd"/>
            <w:r w:rsidRPr="0087487B">
              <w:rPr>
                <w:sz w:val="18"/>
                <w:szCs w:val="18"/>
              </w:rPr>
              <w:t xml:space="preserve"> certainty in the evidence</w:t>
            </w:r>
          </w:p>
        </w:tc>
        <w:tc>
          <w:tcPr>
            <w:tcW w:w="0" w:type="auto"/>
            <w:vAlign w:val="top"/>
            <w:hideMark/>
          </w:tcPr>
          <w:p w14:paraId="4F7D0C8D" w14:textId="77777777" w:rsidR="0016006E" w:rsidRPr="0087487B" w:rsidRDefault="0016006E" w:rsidP="00314B37">
            <w:pPr>
              <w:pStyle w:val="NormalWeb"/>
              <w:jc w:val="left"/>
              <w:rPr>
                <w:sz w:val="18"/>
                <w:szCs w:val="18"/>
              </w:rPr>
            </w:pPr>
            <w:r w:rsidRPr="0087487B">
              <w:rPr>
                <w:sz w:val="18"/>
                <w:szCs w:val="18"/>
              </w:rPr>
              <w:t xml:space="preserve">Conditional rec, </w:t>
            </w:r>
            <w:proofErr w:type="gramStart"/>
            <w:r w:rsidRPr="0087487B">
              <w:rPr>
                <w:sz w:val="18"/>
                <w:szCs w:val="18"/>
              </w:rPr>
              <w:t>very low</w:t>
            </w:r>
            <w:proofErr w:type="gramEnd"/>
            <w:r w:rsidRPr="0087487B">
              <w:rPr>
                <w:sz w:val="18"/>
                <w:szCs w:val="18"/>
              </w:rPr>
              <w:t xml:space="preserve"> certainty in the evidence</w:t>
            </w:r>
          </w:p>
        </w:tc>
      </w:tr>
      <w:tr w:rsidR="0016006E" w:rsidRPr="0087487B" w14:paraId="35E3D73E" w14:textId="77777777" w:rsidTr="0016006E">
        <w:trPr>
          <w:divId w:val="448665177"/>
        </w:trPr>
        <w:tc>
          <w:tcPr>
            <w:tcW w:w="0" w:type="auto"/>
            <w:vAlign w:val="top"/>
            <w:hideMark/>
          </w:tcPr>
          <w:p w14:paraId="31E764A6" w14:textId="77777777" w:rsidR="0016006E" w:rsidRPr="0087487B" w:rsidRDefault="0016006E" w:rsidP="00314B37">
            <w:pPr>
              <w:pStyle w:val="NormalWeb"/>
              <w:jc w:val="left"/>
              <w:rPr>
                <w:b/>
                <w:sz w:val="18"/>
                <w:szCs w:val="18"/>
              </w:rPr>
            </w:pPr>
            <w:r w:rsidRPr="0087487B">
              <w:rPr>
                <w:b/>
                <w:sz w:val="18"/>
                <w:szCs w:val="18"/>
              </w:rPr>
              <w:t>Shorter course regimen for 9–11 months</w:t>
            </w:r>
          </w:p>
        </w:tc>
        <w:tc>
          <w:tcPr>
            <w:tcW w:w="0" w:type="auto"/>
            <w:vAlign w:val="top"/>
            <w:hideMark/>
          </w:tcPr>
          <w:p w14:paraId="150CFABD" w14:textId="77777777" w:rsidR="0016006E" w:rsidRPr="0087487B" w:rsidRDefault="0016006E" w:rsidP="00314B37">
            <w:pPr>
              <w:pStyle w:val="NormalWeb"/>
              <w:jc w:val="left"/>
              <w:rPr>
                <w:sz w:val="18"/>
                <w:szCs w:val="18"/>
              </w:rPr>
            </w:pPr>
            <w:r w:rsidRPr="0087487B">
              <w:rPr>
                <w:sz w:val="18"/>
                <w:szCs w:val="18"/>
              </w:rPr>
              <w:t xml:space="preserve">Acceptable </w:t>
            </w:r>
            <w:proofErr w:type="gramStart"/>
            <w:r w:rsidRPr="0087487B">
              <w:rPr>
                <w:sz w:val="18"/>
                <w:szCs w:val="18"/>
              </w:rPr>
              <w:t>providing</w:t>
            </w:r>
            <w:proofErr w:type="gramEnd"/>
            <w:r w:rsidRPr="0087487B">
              <w:rPr>
                <w:sz w:val="18"/>
                <w:szCs w:val="18"/>
              </w:rPr>
              <w:t xml:space="preserve"> certain criteria met in particular exclusion of fluoroquinolone resistance and severe disease</w:t>
            </w:r>
          </w:p>
        </w:tc>
        <w:tc>
          <w:tcPr>
            <w:tcW w:w="0" w:type="auto"/>
            <w:vAlign w:val="top"/>
            <w:hideMark/>
          </w:tcPr>
          <w:p w14:paraId="2DFBF49C" w14:textId="77777777" w:rsidR="0016006E" w:rsidRPr="0087487B" w:rsidRDefault="0016006E" w:rsidP="00314B37">
            <w:pPr>
              <w:pStyle w:val="NormalWeb"/>
              <w:jc w:val="left"/>
              <w:rPr>
                <w:sz w:val="18"/>
                <w:szCs w:val="18"/>
              </w:rPr>
            </w:pPr>
            <w:r w:rsidRPr="0087487B">
              <w:rPr>
                <w:sz w:val="18"/>
                <w:szCs w:val="18"/>
              </w:rPr>
              <w:t>Could not make a recommendation for or against the shorter regimen compared with individualised regimens</w:t>
            </w:r>
          </w:p>
        </w:tc>
      </w:tr>
      <w:tr w:rsidR="0016006E" w:rsidRPr="0087487B" w14:paraId="24D21D5C" w14:textId="77777777" w:rsidTr="0016006E">
        <w:trPr>
          <w:cnfStyle w:val="000000010000" w:firstRow="0" w:lastRow="0" w:firstColumn="0" w:lastColumn="0" w:oddVBand="0" w:evenVBand="0" w:oddHBand="0" w:evenHBand="1" w:firstRowFirstColumn="0" w:firstRowLastColumn="0" w:lastRowFirstColumn="0" w:lastRowLastColumn="0"/>
          <w:divId w:val="448665177"/>
        </w:trPr>
        <w:tc>
          <w:tcPr>
            <w:tcW w:w="0" w:type="auto"/>
            <w:vAlign w:val="top"/>
            <w:hideMark/>
          </w:tcPr>
          <w:p w14:paraId="00C545CF" w14:textId="77777777" w:rsidR="0016006E" w:rsidRPr="0087487B" w:rsidRDefault="0016006E" w:rsidP="00314B37">
            <w:pPr>
              <w:pStyle w:val="NormalWeb"/>
              <w:jc w:val="left"/>
              <w:rPr>
                <w:b/>
                <w:sz w:val="18"/>
                <w:szCs w:val="18"/>
              </w:rPr>
            </w:pPr>
            <w:r w:rsidRPr="0087487B">
              <w:rPr>
                <w:b/>
                <w:sz w:val="18"/>
                <w:szCs w:val="18"/>
              </w:rPr>
              <w:t>Individualised, empiric or standardised regimen</w:t>
            </w:r>
          </w:p>
        </w:tc>
        <w:tc>
          <w:tcPr>
            <w:tcW w:w="0" w:type="auto"/>
            <w:vAlign w:val="top"/>
            <w:hideMark/>
          </w:tcPr>
          <w:p w14:paraId="2B13D956" w14:textId="77777777" w:rsidR="0016006E" w:rsidRPr="0087487B" w:rsidRDefault="0016006E" w:rsidP="00314B37">
            <w:pPr>
              <w:pStyle w:val="NormalWeb"/>
              <w:jc w:val="left"/>
              <w:rPr>
                <w:sz w:val="18"/>
                <w:szCs w:val="18"/>
              </w:rPr>
            </w:pPr>
            <w:r w:rsidRPr="0087487B">
              <w:rPr>
                <w:sz w:val="18"/>
                <w:szCs w:val="18"/>
              </w:rPr>
              <w:t>Standardised regimens used empirically with incomplete DST data</w:t>
            </w:r>
          </w:p>
        </w:tc>
        <w:tc>
          <w:tcPr>
            <w:tcW w:w="0" w:type="auto"/>
            <w:vAlign w:val="top"/>
            <w:hideMark/>
          </w:tcPr>
          <w:p w14:paraId="3385887E" w14:textId="77777777" w:rsidR="0016006E" w:rsidRPr="0087487B" w:rsidRDefault="0016006E" w:rsidP="00314B37">
            <w:pPr>
              <w:pStyle w:val="NormalWeb"/>
              <w:jc w:val="left"/>
              <w:rPr>
                <w:sz w:val="18"/>
                <w:szCs w:val="18"/>
              </w:rPr>
            </w:pPr>
            <w:r w:rsidRPr="0087487B">
              <w:rPr>
                <w:sz w:val="18"/>
                <w:szCs w:val="18"/>
              </w:rPr>
              <w:t>Individualised – build a regimen based on DST</w:t>
            </w:r>
          </w:p>
        </w:tc>
      </w:tr>
      <w:tr w:rsidR="0016006E" w:rsidRPr="0087487B" w14:paraId="0CE14D91" w14:textId="77777777" w:rsidTr="0016006E">
        <w:trPr>
          <w:divId w:val="448665177"/>
        </w:trPr>
        <w:tc>
          <w:tcPr>
            <w:tcW w:w="0" w:type="auto"/>
            <w:vAlign w:val="top"/>
            <w:hideMark/>
          </w:tcPr>
          <w:p w14:paraId="2BBD0A82" w14:textId="77777777" w:rsidR="0016006E" w:rsidRPr="0087487B" w:rsidRDefault="0016006E" w:rsidP="00314B37">
            <w:pPr>
              <w:pStyle w:val="NormalWeb"/>
              <w:jc w:val="left"/>
              <w:rPr>
                <w:b/>
                <w:sz w:val="18"/>
                <w:szCs w:val="18"/>
              </w:rPr>
            </w:pPr>
            <w:r w:rsidRPr="0087487B">
              <w:rPr>
                <w:b/>
                <w:sz w:val="18"/>
                <w:szCs w:val="18"/>
              </w:rPr>
              <w:t>Isoniazid resistant TB (rifampicin susceptible)</w:t>
            </w:r>
          </w:p>
        </w:tc>
        <w:tc>
          <w:tcPr>
            <w:tcW w:w="0" w:type="auto"/>
            <w:vAlign w:val="top"/>
            <w:hideMark/>
          </w:tcPr>
          <w:p w14:paraId="0E48E247" w14:textId="77777777" w:rsidR="0016006E" w:rsidRPr="0087487B" w:rsidRDefault="0016006E" w:rsidP="00314B37">
            <w:pPr>
              <w:pStyle w:val="NormalWeb"/>
              <w:jc w:val="left"/>
              <w:rPr>
                <w:sz w:val="18"/>
                <w:szCs w:val="18"/>
              </w:rPr>
            </w:pPr>
            <w:r w:rsidRPr="0087487B">
              <w:rPr>
                <w:sz w:val="18"/>
                <w:szCs w:val="18"/>
              </w:rPr>
              <w:t>6REZLfx</w:t>
            </w:r>
          </w:p>
        </w:tc>
        <w:tc>
          <w:tcPr>
            <w:tcW w:w="0" w:type="auto"/>
            <w:vAlign w:val="top"/>
            <w:hideMark/>
          </w:tcPr>
          <w:p w14:paraId="1D1D6CBD" w14:textId="77777777" w:rsidR="0016006E" w:rsidRPr="0087487B" w:rsidRDefault="0016006E" w:rsidP="00314B37">
            <w:pPr>
              <w:pStyle w:val="NormalWeb"/>
              <w:jc w:val="left"/>
              <w:rPr>
                <w:sz w:val="18"/>
                <w:szCs w:val="18"/>
              </w:rPr>
            </w:pPr>
            <w:r w:rsidRPr="0087487B">
              <w:rPr>
                <w:sz w:val="18"/>
                <w:szCs w:val="18"/>
              </w:rPr>
              <w:t>6REZLfx</w:t>
            </w:r>
            <w:r w:rsidRPr="0087487B">
              <w:rPr>
                <w:sz w:val="18"/>
                <w:szCs w:val="18"/>
              </w:rPr>
              <w:br/>
              <w:t>2REZLfx 4RELfx</w:t>
            </w:r>
            <w:r w:rsidRPr="0087487B">
              <w:rPr>
                <w:sz w:val="18"/>
                <w:szCs w:val="18"/>
              </w:rPr>
              <w:br/>
              <w:t>Option to use pyrazinamide for first 2 months only in those with a low burden of infection, hepato-toxicity</w:t>
            </w:r>
          </w:p>
        </w:tc>
      </w:tr>
      <w:tr w:rsidR="0016006E" w:rsidRPr="0087487B" w14:paraId="56863E42" w14:textId="77777777" w:rsidTr="0016006E">
        <w:trPr>
          <w:cnfStyle w:val="000000010000" w:firstRow="0" w:lastRow="0" w:firstColumn="0" w:lastColumn="0" w:oddVBand="0" w:evenVBand="0" w:oddHBand="0" w:evenHBand="1" w:firstRowFirstColumn="0" w:firstRowLastColumn="0" w:lastRowFirstColumn="0" w:lastRowLastColumn="0"/>
          <w:divId w:val="448665177"/>
        </w:trPr>
        <w:tc>
          <w:tcPr>
            <w:tcW w:w="0" w:type="auto"/>
            <w:vAlign w:val="top"/>
            <w:hideMark/>
          </w:tcPr>
          <w:p w14:paraId="3A6966AA" w14:textId="77777777" w:rsidR="0016006E" w:rsidRPr="0087487B" w:rsidRDefault="0016006E" w:rsidP="00314B37">
            <w:pPr>
              <w:pStyle w:val="NormalWeb"/>
              <w:jc w:val="left"/>
              <w:rPr>
                <w:b/>
                <w:sz w:val="18"/>
                <w:szCs w:val="18"/>
              </w:rPr>
            </w:pPr>
            <w:r w:rsidRPr="0087487B">
              <w:rPr>
                <w:b/>
                <w:sz w:val="18"/>
                <w:szCs w:val="18"/>
              </w:rPr>
              <w:t>Rifampicin resistant TB</w:t>
            </w:r>
            <w:r w:rsidRPr="0087487B">
              <w:rPr>
                <w:b/>
                <w:sz w:val="18"/>
                <w:szCs w:val="18"/>
              </w:rPr>
              <w:br/>
              <w:t>(Isoniazid susceptible)</w:t>
            </w:r>
          </w:p>
        </w:tc>
        <w:tc>
          <w:tcPr>
            <w:tcW w:w="0" w:type="auto"/>
            <w:vAlign w:val="top"/>
            <w:hideMark/>
          </w:tcPr>
          <w:p w14:paraId="789465AD" w14:textId="77777777" w:rsidR="0016006E" w:rsidRPr="0087487B" w:rsidRDefault="0016006E" w:rsidP="00314B37">
            <w:pPr>
              <w:pStyle w:val="NormalWeb"/>
              <w:jc w:val="left"/>
              <w:rPr>
                <w:sz w:val="18"/>
                <w:szCs w:val="18"/>
              </w:rPr>
            </w:pPr>
            <w:r w:rsidRPr="0087487B">
              <w:rPr>
                <w:sz w:val="18"/>
                <w:szCs w:val="18"/>
              </w:rPr>
              <w:t>Same as for MDR-TB</w:t>
            </w:r>
          </w:p>
        </w:tc>
        <w:tc>
          <w:tcPr>
            <w:tcW w:w="0" w:type="auto"/>
            <w:vAlign w:val="top"/>
            <w:hideMark/>
          </w:tcPr>
          <w:p w14:paraId="700DA52A" w14:textId="77777777" w:rsidR="0016006E" w:rsidRPr="0087487B" w:rsidRDefault="0016006E" w:rsidP="00314B37">
            <w:pPr>
              <w:pStyle w:val="NormalWeb"/>
              <w:jc w:val="left"/>
              <w:rPr>
                <w:sz w:val="18"/>
                <w:szCs w:val="18"/>
              </w:rPr>
            </w:pPr>
            <w:r w:rsidRPr="0087487B">
              <w:rPr>
                <w:sz w:val="18"/>
                <w:szCs w:val="18"/>
              </w:rPr>
              <w:t>No new recommendation</w:t>
            </w:r>
            <w:r w:rsidRPr="0087487B">
              <w:rPr>
                <w:sz w:val="18"/>
                <w:szCs w:val="18"/>
              </w:rPr>
              <w:br/>
              <w:t>2HEZFQN 10-16HEFQN</w:t>
            </w:r>
          </w:p>
        </w:tc>
      </w:tr>
    </w:tbl>
    <w:p w14:paraId="770F4982" w14:textId="77777777" w:rsidR="0016006E" w:rsidRPr="0087487B" w:rsidRDefault="0016006E" w:rsidP="0016006E">
      <w:pPr>
        <w:pStyle w:val="CDIfootnotes"/>
        <w:divId w:val="448665177"/>
      </w:pPr>
      <w:r w:rsidRPr="0087487B">
        <w:t>a</w:t>
      </w:r>
      <w:r w:rsidRPr="0087487B">
        <w:tab/>
        <w:t xml:space="preserve">E: ethambutol; H: isoniazid; R: rifampicin; Z: pyrazinamide; FQN: fluoroquinolone; </w:t>
      </w:r>
      <w:proofErr w:type="spellStart"/>
      <w:r w:rsidRPr="0087487B">
        <w:t>Lfx</w:t>
      </w:r>
      <w:proofErr w:type="spellEnd"/>
      <w:r w:rsidRPr="0087487B">
        <w:t>: levofloxacin.</w:t>
      </w:r>
    </w:p>
    <w:p w14:paraId="6DD690F1" w14:textId="3AF4A18A" w:rsidR="00F605B4" w:rsidRPr="0087487B" w:rsidRDefault="00F605B4">
      <w:pPr>
        <w:pStyle w:val="Heading3"/>
        <w:divId w:val="448665177"/>
        <w:rPr>
          <w:rFonts w:eastAsia="Times New Roman"/>
        </w:rPr>
      </w:pPr>
      <w:r w:rsidRPr="0087487B">
        <w:rPr>
          <w:rFonts w:eastAsia="Times New Roman"/>
        </w:rPr>
        <w:t xml:space="preserve">Number of drugs </w:t>
      </w:r>
    </w:p>
    <w:p w14:paraId="743F28E6" w14:textId="77777777" w:rsidR="00052EA5" w:rsidRPr="0087487B" w:rsidRDefault="00F605B4" w:rsidP="00DB46AB">
      <w:pPr>
        <w:divId w:val="448665177"/>
      </w:pPr>
      <w:r w:rsidRPr="0087487B">
        <w:t xml:space="preserve">Based on the most recent WHO and ATS/CDC/ERS/IDSA second line drug rankings, in order of priority the fluoroquinolones (levofloxacin or moxifloxacin), </w:t>
      </w:r>
      <w:proofErr w:type="spellStart"/>
      <w:r w:rsidRPr="0087487B">
        <w:t>bedaquiline</w:t>
      </w:r>
      <w:proofErr w:type="spellEnd"/>
      <w:r w:rsidRPr="0087487B">
        <w:t xml:space="preserve">, linezolid, clofazimine and </w:t>
      </w:r>
      <w:proofErr w:type="spellStart"/>
      <w:r w:rsidRPr="0087487B">
        <w:t>cycloserine</w:t>
      </w:r>
      <w:proofErr w:type="spellEnd"/>
      <w:r w:rsidRPr="0087487B">
        <w:t xml:space="preserve"> represent the agents of </w:t>
      </w:r>
      <w:proofErr w:type="gramStart"/>
      <w:r w:rsidRPr="0087487B">
        <w:t>initial</w:t>
      </w:r>
      <w:proofErr w:type="gramEnd"/>
      <w:r w:rsidRPr="0087487B">
        <w:t xml:space="preserve"> choice. The strength and certainty of evidence for the use of these drugs </w:t>
      </w:r>
      <w:proofErr w:type="gramStart"/>
      <w:r w:rsidRPr="0087487B">
        <w:t>is represented</w:t>
      </w:r>
      <w:proofErr w:type="gramEnd"/>
      <w:r w:rsidRPr="0087487B">
        <w:t xml:space="preserve"> in Table 5. </w:t>
      </w:r>
    </w:p>
    <w:p w14:paraId="3610EBD4" w14:textId="77777777" w:rsidR="00052EA5" w:rsidRPr="0087487B" w:rsidRDefault="00052EA5" w:rsidP="00052EA5">
      <w:pPr>
        <w:pStyle w:val="CDIFigures"/>
        <w:divId w:val="448665177"/>
      </w:pPr>
      <w:bookmarkStart w:id="3" w:name="_Hlk147995079"/>
      <w:r w:rsidRPr="0087487B">
        <w:rPr>
          <w:rStyle w:val="Strong"/>
          <w:b/>
          <w:bCs w:val="0"/>
        </w:rPr>
        <w:t>Table 5: WHO and ATS/CDC/ERS/IDSA priority second-line drug selections 2019: comparison between strength of recommendation and level of certainty of evidence</w:t>
      </w:r>
      <w:bookmarkEnd w:id="3"/>
    </w:p>
    <w:tbl>
      <w:tblPr>
        <w:tblStyle w:val="CDI-StandardTable"/>
        <w:tblW w:w="0" w:type="auto"/>
        <w:tblLook w:val="04A0" w:firstRow="1" w:lastRow="0" w:firstColumn="1" w:lastColumn="0" w:noHBand="0" w:noVBand="1"/>
        <w:tblDescription w:val="A table summarising the treatment recommendations, per the WHO guidelines versus those of the ATS/CDC/ERS/IDSA, for the following drugs: moxifloxacin or levofloxacin; bedaquiline; linezolid; clofazimine; and cycloserine."/>
      </w:tblPr>
      <w:tblGrid>
        <w:gridCol w:w="2835"/>
        <w:gridCol w:w="3828"/>
        <w:gridCol w:w="3777"/>
      </w:tblGrid>
      <w:tr w:rsidR="00052EA5" w:rsidRPr="0087487B" w14:paraId="4488B221" w14:textId="77777777" w:rsidTr="00052EA5">
        <w:trPr>
          <w:cnfStyle w:val="100000000000" w:firstRow="1" w:lastRow="0" w:firstColumn="0" w:lastColumn="0" w:oddVBand="0" w:evenVBand="0" w:oddHBand="0" w:evenHBand="0" w:firstRowFirstColumn="0" w:firstRowLastColumn="0" w:lastRowFirstColumn="0" w:lastRowLastColumn="0"/>
          <w:divId w:val="448665177"/>
        </w:trPr>
        <w:tc>
          <w:tcPr>
            <w:tcW w:w="2835" w:type="dxa"/>
            <w:hideMark/>
          </w:tcPr>
          <w:p w14:paraId="4233E9A0" w14:textId="77777777" w:rsidR="00052EA5" w:rsidRPr="0087487B" w:rsidRDefault="00052EA5" w:rsidP="00314B37">
            <w:pPr>
              <w:pStyle w:val="NormalWeb"/>
              <w:jc w:val="left"/>
              <w:rPr>
                <w:sz w:val="18"/>
                <w:szCs w:val="18"/>
              </w:rPr>
            </w:pPr>
            <w:r w:rsidRPr="0087487B">
              <w:rPr>
                <w:sz w:val="18"/>
                <w:szCs w:val="18"/>
              </w:rPr>
              <w:t>Drug</w:t>
            </w:r>
          </w:p>
        </w:tc>
        <w:tc>
          <w:tcPr>
            <w:tcW w:w="3828" w:type="dxa"/>
            <w:hideMark/>
          </w:tcPr>
          <w:p w14:paraId="5C966F26" w14:textId="77777777" w:rsidR="00052EA5" w:rsidRPr="0087487B" w:rsidRDefault="00052EA5" w:rsidP="00314B37">
            <w:pPr>
              <w:pStyle w:val="NormalWeb"/>
              <w:jc w:val="left"/>
              <w:rPr>
                <w:sz w:val="18"/>
                <w:szCs w:val="18"/>
              </w:rPr>
            </w:pPr>
            <w:r w:rsidRPr="0087487B">
              <w:rPr>
                <w:sz w:val="18"/>
                <w:szCs w:val="18"/>
              </w:rPr>
              <w:t>WHO</w:t>
            </w:r>
          </w:p>
        </w:tc>
        <w:tc>
          <w:tcPr>
            <w:tcW w:w="3777" w:type="dxa"/>
            <w:hideMark/>
          </w:tcPr>
          <w:p w14:paraId="1232DE59" w14:textId="77777777" w:rsidR="00052EA5" w:rsidRPr="0087487B" w:rsidRDefault="00052EA5" w:rsidP="00314B37">
            <w:pPr>
              <w:pStyle w:val="NormalWeb"/>
              <w:jc w:val="left"/>
              <w:rPr>
                <w:sz w:val="18"/>
                <w:szCs w:val="18"/>
              </w:rPr>
            </w:pPr>
            <w:r w:rsidRPr="0087487B">
              <w:rPr>
                <w:sz w:val="18"/>
                <w:szCs w:val="18"/>
              </w:rPr>
              <w:t>ATS/CDC/ERS/IDSA</w:t>
            </w:r>
          </w:p>
        </w:tc>
      </w:tr>
      <w:tr w:rsidR="00052EA5" w:rsidRPr="0087487B" w14:paraId="29823422" w14:textId="77777777" w:rsidTr="00052EA5">
        <w:trPr>
          <w:divId w:val="448665177"/>
        </w:trPr>
        <w:tc>
          <w:tcPr>
            <w:tcW w:w="2835" w:type="dxa"/>
            <w:hideMark/>
          </w:tcPr>
          <w:p w14:paraId="4B2685DD" w14:textId="77777777" w:rsidR="00052EA5" w:rsidRPr="0087487B" w:rsidRDefault="00052EA5" w:rsidP="00314B37">
            <w:pPr>
              <w:pStyle w:val="NormalWeb"/>
              <w:jc w:val="left"/>
              <w:rPr>
                <w:sz w:val="18"/>
                <w:szCs w:val="18"/>
              </w:rPr>
            </w:pPr>
            <w:r w:rsidRPr="0087487B">
              <w:rPr>
                <w:sz w:val="18"/>
                <w:szCs w:val="18"/>
              </w:rPr>
              <w:t>Moxifloxacin or levofloxacin</w:t>
            </w:r>
          </w:p>
        </w:tc>
        <w:tc>
          <w:tcPr>
            <w:tcW w:w="3828" w:type="dxa"/>
            <w:hideMark/>
          </w:tcPr>
          <w:p w14:paraId="1FEA3C04" w14:textId="77777777" w:rsidR="00052EA5" w:rsidRPr="0087487B" w:rsidRDefault="00052EA5" w:rsidP="00314B37">
            <w:pPr>
              <w:pStyle w:val="NormalWeb"/>
              <w:jc w:val="left"/>
              <w:rPr>
                <w:sz w:val="18"/>
                <w:szCs w:val="18"/>
              </w:rPr>
            </w:pPr>
            <w:r w:rsidRPr="0087487B">
              <w:rPr>
                <w:sz w:val="18"/>
                <w:szCs w:val="18"/>
              </w:rPr>
              <w:t>Strong recommendation</w:t>
            </w:r>
            <w:r w:rsidRPr="0087487B">
              <w:rPr>
                <w:sz w:val="18"/>
                <w:szCs w:val="18"/>
              </w:rPr>
              <w:br/>
              <w:t>Moderate certainty in the estimates of effect</w:t>
            </w:r>
          </w:p>
        </w:tc>
        <w:tc>
          <w:tcPr>
            <w:tcW w:w="3777" w:type="dxa"/>
            <w:hideMark/>
          </w:tcPr>
          <w:p w14:paraId="780D18ED" w14:textId="77777777" w:rsidR="00052EA5" w:rsidRPr="0087487B" w:rsidRDefault="00052EA5" w:rsidP="00314B37">
            <w:pPr>
              <w:pStyle w:val="NormalWeb"/>
              <w:jc w:val="left"/>
              <w:rPr>
                <w:sz w:val="18"/>
                <w:szCs w:val="18"/>
              </w:rPr>
            </w:pPr>
            <w:r w:rsidRPr="0087487B">
              <w:rPr>
                <w:sz w:val="18"/>
                <w:szCs w:val="18"/>
              </w:rPr>
              <w:t>Strong recommendation</w:t>
            </w:r>
            <w:r w:rsidRPr="0087487B">
              <w:rPr>
                <w:sz w:val="18"/>
                <w:szCs w:val="18"/>
              </w:rPr>
              <w:br/>
              <w:t>Very low certainty in the evidence</w:t>
            </w:r>
          </w:p>
        </w:tc>
      </w:tr>
      <w:tr w:rsidR="00052EA5" w:rsidRPr="0087487B" w14:paraId="062788C1" w14:textId="77777777" w:rsidTr="00052EA5">
        <w:trPr>
          <w:cnfStyle w:val="000000010000" w:firstRow="0" w:lastRow="0" w:firstColumn="0" w:lastColumn="0" w:oddVBand="0" w:evenVBand="0" w:oddHBand="0" w:evenHBand="1" w:firstRowFirstColumn="0" w:firstRowLastColumn="0" w:lastRowFirstColumn="0" w:lastRowLastColumn="0"/>
          <w:divId w:val="448665177"/>
        </w:trPr>
        <w:tc>
          <w:tcPr>
            <w:tcW w:w="2835" w:type="dxa"/>
            <w:hideMark/>
          </w:tcPr>
          <w:p w14:paraId="0316D5E5" w14:textId="77777777" w:rsidR="00052EA5" w:rsidRPr="0087487B" w:rsidRDefault="00052EA5" w:rsidP="00314B37">
            <w:pPr>
              <w:pStyle w:val="NormalWeb"/>
              <w:jc w:val="left"/>
              <w:rPr>
                <w:sz w:val="18"/>
                <w:szCs w:val="18"/>
              </w:rPr>
            </w:pPr>
            <w:proofErr w:type="spellStart"/>
            <w:r w:rsidRPr="0087487B">
              <w:rPr>
                <w:sz w:val="18"/>
                <w:szCs w:val="18"/>
              </w:rPr>
              <w:t>Bedaquiline</w:t>
            </w:r>
            <w:proofErr w:type="spellEnd"/>
          </w:p>
        </w:tc>
        <w:tc>
          <w:tcPr>
            <w:tcW w:w="3828" w:type="dxa"/>
            <w:hideMark/>
          </w:tcPr>
          <w:p w14:paraId="1E1867FE" w14:textId="77777777" w:rsidR="00052EA5" w:rsidRPr="0087487B" w:rsidRDefault="00052EA5" w:rsidP="00314B37">
            <w:pPr>
              <w:pStyle w:val="NormalWeb"/>
              <w:jc w:val="left"/>
              <w:rPr>
                <w:sz w:val="18"/>
                <w:szCs w:val="18"/>
              </w:rPr>
            </w:pPr>
            <w:r w:rsidRPr="0087487B">
              <w:rPr>
                <w:sz w:val="18"/>
                <w:szCs w:val="18"/>
              </w:rPr>
              <w:t>Strong recommendation</w:t>
            </w:r>
            <w:r w:rsidRPr="0087487B">
              <w:rPr>
                <w:sz w:val="18"/>
                <w:szCs w:val="18"/>
              </w:rPr>
              <w:br/>
              <w:t>Moderate certainty in the estimates of effect</w:t>
            </w:r>
          </w:p>
        </w:tc>
        <w:tc>
          <w:tcPr>
            <w:tcW w:w="3777" w:type="dxa"/>
            <w:hideMark/>
          </w:tcPr>
          <w:p w14:paraId="295A3ECA" w14:textId="77777777" w:rsidR="00052EA5" w:rsidRPr="0087487B" w:rsidRDefault="00052EA5" w:rsidP="00314B37">
            <w:pPr>
              <w:pStyle w:val="NormalWeb"/>
              <w:jc w:val="left"/>
              <w:rPr>
                <w:sz w:val="18"/>
                <w:szCs w:val="18"/>
              </w:rPr>
            </w:pPr>
            <w:r w:rsidRPr="0087487B">
              <w:rPr>
                <w:sz w:val="18"/>
                <w:szCs w:val="18"/>
              </w:rPr>
              <w:t>Strong recommendation</w:t>
            </w:r>
            <w:r w:rsidRPr="0087487B">
              <w:rPr>
                <w:sz w:val="18"/>
                <w:szCs w:val="18"/>
              </w:rPr>
              <w:br/>
              <w:t>Very low certainty in the evidence</w:t>
            </w:r>
          </w:p>
        </w:tc>
      </w:tr>
      <w:tr w:rsidR="00052EA5" w:rsidRPr="0087487B" w14:paraId="5F0C7103" w14:textId="77777777" w:rsidTr="00052EA5">
        <w:trPr>
          <w:divId w:val="448665177"/>
        </w:trPr>
        <w:tc>
          <w:tcPr>
            <w:tcW w:w="2835" w:type="dxa"/>
            <w:hideMark/>
          </w:tcPr>
          <w:p w14:paraId="35B5FE86" w14:textId="77777777" w:rsidR="00052EA5" w:rsidRPr="0087487B" w:rsidRDefault="00052EA5" w:rsidP="00314B37">
            <w:pPr>
              <w:pStyle w:val="NormalWeb"/>
              <w:jc w:val="left"/>
              <w:rPr>
                <w:sz w:val="18"/>
                <w:szCs w:val="18"/>
              </w:rPr>
            </w:pPr>
            <w:r w:rsidRPr="0087487B">
              <w:rPr>
                <w:sz w:val="18"/>
                <w:szCs w:val="18"/>
              </w:rPr>
              <w:t>Linezolid</w:t>
            </w:r>
          </w:p>
        </w:tc>
        <w:tc>
          <w:tcPr>
            <w:tcW w:w="3828" w:type="dxa"/>
            <w:hideMark/>
          </w:tcPr>
          <w:p w14:paraId="21F22D2E" w14:textId="77777777" w:rsidR="00052EA5" w:rsidRPr="0087487B" w:rsidRDefault="00052EA5" w:rsidP="00314B37">
            <w:pPr>
              <w:pStyle w:val="NormalWeb"/>
              <w:jc w:val="left"/>
              <w:rPr>
                <w:sz w:val="18"/>
                <w:szCs w:val="18"/>
              </w:rPr>
            </w:pPr>
            <w:r w:rsidRPr="0087487B">
              <w:rPr>
                <w:sz w:val="18"/>
                <w:szCs w:val="18"/>
              </w:rPr>
              <w:t>Strong recommendation</w:t>
            </w:r>
            <w:r w:rsidRPr="0087487B">
              <w:rPr>
                <w:sz w:val="18"/>
                <w:szCs w:val="18"/>
              </w:rPr>
              <w:br/>
              <w:t>Moderate certainty in the estimates of effect</w:t>
            </w:r>
          </w:p>
        </w:tc>
        <w:tc>
          <w:tcPr>
            <w:tcW w:w="3777" w:type="dxa"/>
            <w:hideMark/>
          </w:tcPr>
          <w:p w14:paraId="62BBF0A9" w14:textId="77777777" w:rsidR="00052EA5" w:rsidRPr="0087487B" w:rsidRDefault="00052EA5" w:rsidP="00314B37">
            <w:pPr>
              <w:pStyle w:val="NormalWeb"/>
              <w:jc w:val="left"/>
              <w:rPr>
                <w:sz w:val="18"/>
                <w:szCs w:val="18"/>
              </w:rPr>
            </w:pPr>
            <w:r w:rsidRPr="0087487B">
              <w:rPr>
                <w:sz w:val="18"/>
                <w:szCs w:val="18"/>
              </w:rPr>
              <w:t>Conditional recommendation</w:t>
            </w:r>
            <w:r w:rsidRPr="0087487B">
              <w:rPr>
                <w:sz w:val="18"/>
                <w:szCs w:val="18"/>
              </w:rPr>
              <w:br/>
              <w:t>Very low certainty in the evidence</w:t>
            </w:r>
          </w:p>
        </w:tc>
      </w:tr>
      <w:tr w:rsidR="00052EA5" w:rsidRPr="0087487B" w14:paraId="6E5089F7" w14:textId="77777777" w:rsidTr="00052EA5">
        <w:trPr>
          <w:cnfStyle w:val="000000010000" w:firstRow="0" w:lastRow="0" w:firstColumn="0" w:lastColumn="0" w:oddVBand="0" w:evenVBand="0" w:oddHBand="0" w:evenHBand="1" w:firstRowFirstColumn="0" w:firstRowLastColumn="0" w:lastRowFirstColumn="0" w:lastRowLastColumn="0"/>
          <w:divId w:val="448665177"/>
        </w:trPr>
        <w:tc>
          <w:tcPr>
            <w:tcW w:w="2835" w:type="dxa"/>
            <w:hideMark/>
          </w:tcPr>
          <w:p w14:paraId="7B587653" w14:textId="77777777" w:rsidR="00052EA5" w:rsidRPr="0087487B" w:rsidRDefault="00052EA5" w:rsidP="00314B37">
            <w:pPr>
              <w:pStyle w:val="NormalWeb"/>
              <w:jc w:val="left"/>
              <w:rPr>
                <w:sz w:val="18"/>
                <w:szCs w:val="18"/>
              </w:rPr>
            </w:pPr>
            <w:r w:rsidRPr="0087487B">
              <w:rPr>
                <w:sz w:val="18"/>
                <w:szCs w:val="18"/>
              </w:rPr>
              <w:t>Clofazimine</w:t>
            </w:r>
          </w:p>
        </w:tc>
        <w:tc>
          <w:tcPr>
            <w:tcW w:w="3828" w:type="dxa"/>
            <w:hideMark/>
          </w:tcPr>
          <w:p w14:paraId="0BC0401F" w14:textId="77777777" w:rsidR="00052EA5" w:rsidRPr="0087487B" w:rsidRDefault="00052EA5" w:rsidP="00314B37">
            <w:pPr>
              <w:pStyle w:val="NormalWeb"/>
              <w:jc w:val="left"/>
              <w:rPr>
                <w:sz w:val="18"/>
                <w:szCs w:val="18"/>
              </w:rPr>
            </w:pPr>
            <w:r w:rsidRPr="0087487B">
              <w:rPr>
                <w:sz w:val="18"/>
                <w:szCs w:val="18"/>
              </w:rPr>
              <w:t>Conditional recommendation</w:t>
            </w:r>
            <w:r w:rsidRPr="0087487B">
              <w:rPr>
                <w:sz w:val="18"/>
                <w:szCs w:val="18"/>
              </w:rPr>
              <w:br/>
              <w:t>Very low certainty in the estimates of effect</w:t>
            </w:r>
          </w:p>
        </w:tc>
        <w:tc>
          <w:tcPr>
            <w:tcW w:w="3777" w:type="dxa"/>
            <w:hideMark/>
          </w:tcPr>
          <w:p w14:paraId="6968A360" w14:textId="77777777" w:rsidR="00052EA5" w:rsidRPr="0087487B" w:rsidRDefault="00052EA5" w:rsidP="00314B37">
            <w:pPr>
              <w:pStyle w:val="NormalWeb"/>
              <w:jc w:val="left"/>
              <w:rPr>
                <w:sz w:val="18"/>
                <w:szCs w:val="18"/>
              </w:rPr>
            </w:pPr>
            <w:r w:rsidRPr="0087487B">
              <w:rPr>
                <w:sz w:val="18"/>
                <w:szCs w:val="18"/>
              </w:rPr>
              <w:t>Conditional recommendation</w:t>
            </w:r>
            <w:r w:rsidRPr="0087487B">
              <w:rPr>
                <w:sz w:val="18"/>
                <w:szCs w:val="18"/>
              </w:rPr>
              <w:br/>
              <w:t>Very low certainty in the evidence</w:t>
            </w:r>
          </w:p>
        </w:tc>
      </w:tr>
      <w:tr w:rsidR="00052EA5" w:rsidRPr="0087487B" w14:paraId="27D1AE96" w14:textId="77777777" w:rsidTr="00052EA5">
        <w:trPr>
          <w:divId w:val="448665177"/>
        </w:trPr>
        <w:tc>
          <w:tcPr>
            <w:tcW w:w="2835" w:type="dxa"/>
            <w:tcBorders>
              <w:bottom w:val="single" w:sz="4" w:space="0" w:color="808080" w:themeColor="background1" w:themeShade="80"/>
            </w:tcBorders>
            <w:hideMark/>
          </w:tcPr>
          <w:p w14:paraId="22C9BEBF" w14:textId="77777777" w:rsidR="00052EA5" w:rsidRPr="0087487B" w:rsidRDefault="00052EA5" w:rsidP="00314B37">
            <w:pPr>
              <w:pStyle w:val="NormalWeb"/>
              <w:jc w:val="left"/>
              <w:rPr>
                <w:sz w:val="18"/>
                <w:szCs w:val="18"/>
              </w:rPr>
            </w:pPr>
            <w:proofErr w:type="spellStart"/>
            <w:r w:rsidRPr="0087487B">
              <w:rPr>
                <w:sz w:val="18"/>
                <w:szCs w:val="18"/>
              </w:rPr>
              <w:t>Cycloserine</w:t>
            </w:r>
            <w:proofErr w:type="spellEnd"/>
          </w:p>
        </w:tc>
        <w:tc>
          <w:tcPr>
            <w:tcW w:w="3828" w:type="dxa"/>
            <w:tcBorders>
              <w:bottom w:val="single" w:sz="4" w:space="0" w:color="808080" w:themeColor="background1" w:themeShade="80"/>
            </w:tcBorders>
            <w:hideMark/>
          </w:tcPr>
          <w:p w14:paraId="30A75C29" w14:textId="77777777" w:rsidR="00052EA5" w:rsidRPr="0087487B" w:rsidRDefault="00052EA5" w:rsidP="00314B37">
            <w:pPr>
              <w:pStyle w:val="NormalWeb"/>
              <w:jc w:val="left"/>
              <w:rPr>
                <w:sz w:val="18"/>
                <w:szCs w:val="18"/>
              </w:rPr>
            </w:pPr>
            <w:r w:rsidRPr="0087487B">
              <w:rPr>
                <w:sz w:val="18"/>
                <w:szCs w:val="18"/>
              </w:rPr>
              <w:t>Conditional recommendation</w:t>
            </w:r>
            <w:r w:rsidRPr="0087487B">
              <w:rPr>
                <w:sz w:val="18"/>
                <w:szCs w:val="18"/>
              </w:rPr>
              <w:br/>
              <w:t>Very low certainty in the estimates of effect</w:t>
            </w:r>
          </w:p>
        </w:tc>
        <w:tc>
          <w:tcPr>
            <w:tcW w:w="3777" w:type="dxa"/>
            <w:tcBorders>
              <w:bottom w:val="single" w:sz="4" w:space="0" w:color="808080" w:themeColor="background1" w:themeShade="80"/>
            </w:tcBorders>
            <w:hideMark/>
          </w:tcPr>
          <w:p w14:paraId="1F876245" w14:textId="77777777" w:rsidR="00052EA5" w:rsidRPr="0087487B" w:rsidRDefault="00052EA5" w:rsidP="00314B37">
            <w:pPr>
              <w:pStyle w:val="NormalWeb"/>
              <w:jc w:val="left"/>
              <w:rPr>
                <w:sz w:val="18"/>
                <w:szCs w:val="18"/>
              </w:rPr>
            </w:pPr>
            <w:r w:rsidRPr="0087487B">
              <w:rPr>
                <w:sz w:val="18"/>
                <w:szCs w:val="18"/>
              </w:rPr>
              <w:t>Conditional recommendation</w:t>
            </w:r>
            <w:r w:rsidRPr="0087487B">
              <w:rPr>
                <w:sz w:val="18"/>
                <w:szCs w:val="18"/>
              </w:rPr>
              <w:br/>
              <w:t>Very low certainty in the evidence</w:t>
            </w:r>
          </w:p>
        </w:tc>
      </w:tr>
    </w:tbl>
    <w:p w14:paraId="4C97CC4D" w14:textId="77777777" w:rsidR="00052EA5" w:rsidRPr="0087487B" w:rsidRDefault="00052EA5" w:rsidP="00DB46AB">
      <w:pPr>
        <w:divId w:val="448665177"/>
      </w:pPr>
    </w:p>
    <w:p w14:paraId="5B836104" w14:textId="1E3E06CE" w:rsidR="00F605B4" w:rsidRPr="0087487B" w:rsidRDefault="00F605B4" w:rsidP="00DB46AB">
      <w:pPr>
        <w:divId w:val="448665177"/>
      </w:pPr>
      <w:r w:rsidRPr="0087487B">
        <w:lastRenderedPageBreak/>
        <w:t xml:space="preserve">The WHO </w:t>
      </w:r>
      <w:proofErr w:type="gramStart"/>
      <w:r w:rsidRPr="0087487B">
        <w:t>advise</w:t>
      </w:r>
      <w:proofErr w:type="gramEnd"/>
      <w:r w:rsidRPr="0087487B">
        <w:t xml:space="preserve"> starting with four effective second-line drugs versus the ATS/CDC/ERS/IDSA’s recommendation of five. The difference in the </w:t>
      </w:r>
      <w:proofErr w:type="gramStart"/>
      <w:r w:rsidRPr="0087487B">
        <w:t>initial</w:t>
      </w:r>
      <w:proofErr w:type="gramEnd"/>
      <w:r w:rsidRPr="0087487B">
        <w:t xml:space="preserve"> number of drugs recommended (and subsequent numbers in the continuation phase) may relate to some variances in the IPDMA data assessed by the respective bodies despite the substantial overlap. The ATS/CDC/ERS/IDSA decision to recommend starting with five effective second-line drugs also </w:t>
      </w:r>
      <w:proofErr w:type="gramStart"/>
      <w:r w:rsidRPr="0087487B">
        <w:t>takes into account</w:t>
      </w:r>
      <w:proofErr w:type="gramEnd"/>
      <w:r w:rsidRPr="0087487B">
        <w:t xml:space="preserve"> the reasonable likelihood of drug intolerance or toxicity occurring during the initial phase of treatment, especially to linezolid or </w:t>
      </w:r>
      <w:proofErr w:type="spellStart"/>
      <w:r w:rsidRPr="0087487B">
        <w:t>cycloserine</w:t>
      </w:r>
      <w:proofErr w:type="spellEnd"/>
      <w:r w:rsidRPr="0087487B">
        <w:t xml:space="preserve">. </w:t>
      </w:r>
    </w:p>
    <w:p w14:paraId="5A2DACD8" w14:textId="77777777" w:rsidR="00F605B4" w:rsidRPr="0087487B" w:rsidRDefault="00F605B4" w:rsidP="00DB46AB">
      <w:pPr>
        <w:divId w:val="448665177"/>
      </w:pPr>
      <w:r w:rsidRPr="0087487B">
        <w:t xml:space="preserve">If selection of 4–5 second-line drugs from this higher priority set of drugs is not possible, </w:t>
      </w:r>
      <w:proofErr w:type="gramStart"/>
      <w:r w:rsidRPr="0087487B">
        <w:t>e.g.</w:t>
      </w:r>
      <w:proofErr w:type="gramEnd"/>
      <w:r w:rsidRPr="0087487B">
        <w:t xml:space="preserve"> due to fluoroquinolone resistance, drug toxicity or concern from previous use of a drug, then drugs from the remaining agents should be considered. In contrast to the WHO recommendation, the ATS/CDC/ERS/IDSA ‘step 4’ </w:t>
      </w:r>
      <w:proofErr w:type="gramStart"/>
      <w:r w:rsidRPr="0087487B">
        <w:t>indicates</w:t>
      </w:r>
      <w:proofErr w:type="gramEnd"/>
      <w:r w:rsidRPr="0087487B">
        <w:t xml:space="preserve"> the preference for amikacin (or streptomycin) ahead of the remaining oral agents if a more effective or less toxic regimen cannot be developed.</w:t>
      </w:r>
      <w:r w:rsidRPr="0087487B">
        <w:rPr>
          <w:vertAlign w:val="superscript"/>
        </w:rPr>
        <w:t>5</w:t>
      </w:r>
      <w:r w:rsidRPr="0087487B">
        <w:t xml:space="preserve"> This assumes confirmed drug susceptibility and appropriate discussions to determine patient preference. </w:t>
      </w:r>
    </w:p>
    <w:p w14:paraId="254CC4DE" w14:textId="77777777" w:rsidR="00F605B4" w:rsidRPr="0087487B" w:rsidRDefault="00F605B4" w:rsidP="00DB46AB">
      <w:pPr>
        <w:divId w:val="448665177"/>
      </w:pPr>
      <w:r w:rsidRPr="0087487B">
        <w:t>This overall approach emphasises that an effective regimen requires the use of drugs with a proven or high likelihood of susceptibility. Designing an effective regimen should also consider the bactericidal and sterilising properties of the individual drugs.</w:t>
      </w:r>
      <w:r w:rsidRPr="0087487B">
        <w:rPr>
          <w:vertAlign w:val="superscript"/>
        </w:rPr>
        <w:t>23</w:t>
      </w:r>
      <w:r w:rsidRPr="0087487B">
        <w:t xml:space="preserve"> The final </w:t>
      </w:r>
      <w:proofErr w:type="gramStart"/>
      <w:r w:rsidRPr="0087487B">
        <w:t>selection</w:t>
      </w:r>
      <w:proofErr w:type="gramEnd"/>
      <w:r w:rsidRPr="0087487B">
        <w:t xml:space="preserve"> will also depend on factors such as medical comorbidities, the potential for drug–drug interactions and patient preference if an injectable agent is to be considered. </w:t>
      </w:r>
      <w:proofErr w:type="gramStart"/>
      <w:r w:rsidRPr="0087487B">
        <w:t>In the event of</w:t>
      </w:r>
      <w:proofErr w:type="gramEnd"/>
      <w:r w:rsidRPr="0087487B">
        <w:t xml:space="preserve"> central nervous system (CNS) involvement, drug penetration is an important consideration. For example, in terms of the newer all-oral recommendations, while levofloxacin/moxifloxacin, </w:t>
      </w:r>
      <w:proofErr w:type="spellStart"/>
      <w:r w:rsidRPr="0087487B">
        <w:t>cycloserine</w:t>
      </w:r>
      <w:proofErr w:type="spellEnd"/>
      <w:r w:rsidRPr="0087487B">
        <w:t xml:space="preserve"> and linezolid penetrate the CNS well, information for clofazimine, </w:t>
      </w:r>
      <w:proofErr w:type="spellStart"/>
      <w:r w:rsidRPr="0087487B">
        <w:t>bedaquiline</w:t>
      </w:r>
      <w:proofErr w:type="spellEnd"/>
      <w:r w:rsidRPr="0087487B">
        <w:t xml:space="preserve"> and </w:t>
      </w:r>
      <w:proofErr w:type="spellStart"/>
      <w:r w:rsidRPr="0087487B">
        <w:t>delamanid</w:t>
      </w:r>
      <w:proofErr w:type="spellEnd"/>
      <w:r w:rsidRPr="0087487B">
        <w:t xml:space="preserve"> </w:t>
      </w:r>
      <w:proofErr w:type="gramStart"/>
      <w:r w:rsidRPr="0087487B">
        <w:t>is limited</w:t>
      </w:r>
      <w:proofErr w:type="gramEnd"/>
      <w:r w:rsidRPr="0087487B">
        <w:t xml:space="preserve">. </w:t>
      </w:r>
    </w:p>
    <w:p w14:paraId="0D294FCB" w14:textId="77777777" w:rsidR="00F605B4" w:rsidRPr="0087487B" w:rsidRDefault="00F605B4">
      <w:pPr>
        <w:pStyle w:val="Heading3"/>
        <w:divId w:val="448665177"/>
        <w:rPr>
          <w:rFonts w:eastAsia="Times New Roman"/>
        </w:rPr>
      </w:pPr>
      <w:r w:rsidRPr="0087487B">
        <w:rPr>
          <w:rFonts w:eastAsia="Times New Roman"/>
        </w:rPr>
        <w:t xml:space="preserve">Duration </w:t>
      </w:r>
    </w:p>
    <w:p w14:paraId="04E6DBBE" w14:textId="77777777" w:rsidR="00F605B4" w:rsidRPr="0087487B" w:rsidRDefault="00F605B4" w:rsidP="00DB46AB">
      <w:pPr>
        <w:divId w:val="448665177"/>
      </w:pPr>
      <w:r w:rsidRPr="0087487B">
        <w:t xml:space="preserve">The </w:t>
      </w:r>
      <w:proofErr w:type="gramStart"/>
      <w:r w:rsidRPr="0087487B">
        <w:t>initial</w:t>
      </w:r>
      <w:proofErr w:type="gramEnd"/>
      <w:r w:rsidRPr="0087487B">
        <w:t xml:space="preserve"> phase of treatment has previously been defined by the duration of use of the injectable agent (≥ 8 months) including time from culture conversion. With the new WHO recommendations, the duration of the </w:t>
      </w:r>
      <w:proofErr w:type="gramStart"/>
      <w:r w:rsidRPr="0087487B">
        <w:t>initial</w:t>
      </w:r>
      <w:proofErr w:type="gramEnd"/>
      <w:r w:rsidRPr="0087487B">
        <w:t xml:space="preserve"> phase in effect is determined by the current use of </w:t>
      </w:r>
      <w:proofErr w:type="spellStart"/>
      <w:r w:rsidRPr="0087487B">
        <w:t>bedaquiline</w:t>
      </w:r>
      <w:proofErr w:type="spellEnd"/>
      <w:r w:rsidRPr="0087487B">
        <w:t xml:space="preserve"> for the first six months only. The continuation phase beyond this point is recommended to continue to complete a total treatment period of 18–20 months or at least 15–17 months beyond culture conversion.</w:t>
      </w:r>
      <w:r w:rsidRPr="0087487B">
        <w:rPr>
          <w:vertAlign w:val="superscript"/>
        </w:rPr>
        <w:t>1,</w:t>
      </w:r>
      <w:proofErr w:type="gramStart"/>
      <w:r w:rsidRPr="0087487B">
        <w:rPr>
          <w:vertAlign w:val="superscript"/>
        </w:rPr>
        <w:t>3</w:t>
      </w:r>
      <w:proofErr w:type="gramEnd"/>
      <w:r w:rsidRPr="0087487B">
        <w:rPr>
          <w:vertAlign w:val="superscript"/>
        </w:rPr>
        <w:t xml:space="preserve"> </w:t>
      </w:r>
    </w:p>
    <w:p w14:paraId="2788B5F5" w14:textId="77777777" w:rsidR="00F605B4" w:rsidRPr="0087487B" w:rsidRDefault="00F605B4" w:rsidP="00DB46AB">
      <w:pPr>
        <w:divId w:val="448665177"/>
      </w:pPr>
      <w:r w:rsidRPr="0087487B">
        <w:t xml:space="preserve">The ATS/CDC/ERS/IDSA, however, place a continued emphasis on time from culture conversion to </w:t>
      </w:r>
      <w:proofErr w:type="gramStart"/>
      <w:r w:rsidRPr="0087487B">
        <w:t>determine</w:t>
      </w:r>
      <w:proofErr w:type="gramEnd"/>
      <w:r w:rsidRPr="0087487B">
        <w:t xml:space="preserve"> the duration of the initial phase, recommending 5–7 months from when culture conversion is confirmed. The basis for this determination centres on factors that </w:t>
      </w:r>
      <w:proofErr w:type="gramStart"/>
      <w:r w:rsidRPr="0087487B">
        <w:t>likely influence</w:t>
      </w:r>
      <w:proofErr w:type="gramEnd"/>
      <w:r w:rsidRPr="0087487B">
        <w:t xml:space="preserve"> patient response to therapy such as disease severity, the pattern of drug resistance and the strength of the regimen. The recommended duration of the 4-drug continuation phase is a cautious 15–21 months from the time to culture conversion, up to 24 months in the pre-XDR and XDR-TB patients.</w:t>
      </w:r>
      <w:r w:rsidRPr="0087487B">
        <w:rPr>
          <w:vertAlign w:val="superscript"/>
        </w:rPr>
        <w:t>5</w:t>
      </w:r>
      <w:r w:rsidRPr="0087487B">
        <w:t xml:space="preserve"> </w:t>
      </w:r>
    </w:p>
    <w:p w14:paraId="42B938BE" w14:textId="77777777" w:rsidR="00F605B4" w:rsidRPr="0087487B" w:rsidRDefault="00F605B4">
      <w:pPr>
        <w:pStyle w:val="Heading3"/>
        <w:divId w:val="448665177"/>
        <w:rPr>
          <w:rFonts w:eastAsia="Times New Roman"/>
        </w:rPr>
      </w:pPr>
      <w:r w:rsidRPr="0087487B">
        <w:rPr>
          <w:rFonts w:eastAsia="Times New Roman"/>
        </w:rPr>
        <w:t xml:space="preserve">Recommendations </w:t>
      </w:r>
    </w:p>
    <w:p w14:paraId="56C2A877" w14:textId="77777777" w:rsidR="00F605B4" w:rsidRPr="0087487B" w:rsidRDefault="00F605B4" w:rsidP="00934C63">
      <w:pPr>
        <w:numPr>
          <w:ilvl w:val="0"/>
          <w:numId w:val="19"/>
        </w:numPr>
        <w:spacing w:before="100" w:beforeAutospacing="1" w:after="100" w:afterAutospacing="1" w:line="240" w:lineRule="auto"/>
        <w:divId w:val="448665177"/>
        <w:rPr>
          <w:rFonts w:eastAsia="Times New Roman"/>
        </w:rPr>
      </w:pPr>
      <w:r w:rsidRPr="0087487B">
        <w:rPr>
          <w:rFonts w:eastAsia="Times New Roman"/>
        </w:rPr>
        <w:t>Longer course regimens are recommended in those with more severe or extensive forms of MDR-TB, pre-</w:t>
      </w:r>
      <w:proofErr w:type="gramStart"/>
      <w:r w:rsidRPr="0087487B">
        <w:rPr>
          <w:rFonts w:eastAsia="Times New Roman"/>
        </w:rPr>
        <w:t>XDR</w:t>
      </w:r>
      <w:proofErr w:type="gramEnd"/>
      <w:r w:rsidRPr="0087487B">
        <w:rPr>
          <w:rFonts w:eastAsia="Times New Roman"/>
        </w:rPr>
        <w:t xml:space="preserve"> or XDR-TB (pulmonary and extra-pulmonary) </w:t>
      </w:r>
    </w:p>
    <w:p w14:paraId="04C5B619" w14:textId="77777777" w:rsidR="00F605B4" w:rsidRPr="0087487B" w:rsidRDefault="00F605B4" w:rsidP="00934C63">
      <w:pPr>
        <w:numPr>
          <w:ilvl w:val="0"/>
          <w:numId w:val="19"/>
        </w:numPr>
        <w:spacing w:before="100" w:beforeAutospacing="1" w:after="100" w:afterAutospacing="1" w:line="240" w:lineRule="auto"/>
        <w:divId w:val="448665177"/>
        <w:rPr>
          <w:rFonts w:eastAsia="Times New Roman"/>
        </w:rPr>
      </w:pPr>
      <w:r w:rsidRPr="0087487B">
        <w:rPr>
          <w:rFonts w:eastAsia="Times New Roman"/>
        </w:rPr>
        <w:t xml:space="preserve">Use an individualised approach based on molecular and phenotypic DST to determine the regimen </w:t>
      </w:r>
      <w:proofErr w:type="gramStart"/>
      <w:r w:rsidRPr="0087487B">
        <w:rPr>
          <w:rFonts w:eastAsia="Times New Roman"/>
        </w:rPr>
        <w:t>design</w:t>
      </w:r>
      <w:proofErr w:type="gramEnd"/>
      <w:r w:rsidRPr="0087487B">
        <w:rPr>
          <w:rFonts w:eastAsia="Times New Roman"/>
        </w:rPr>
        <w:t xml:space="preserve"> </w:t>
      </w:r>
    </w:p>
    <w:p w14:paraId="2FE7A0E5" w14:textId="77777777" w:rsidR="00F605B4" w:rsidRPr="0087487B" w:rsidRDefault="00F605B4" w:rsidP="00934C63">
      <w:pPr>
        <w:numPr>
          <w:ilvl w:val="0"/>
          <w:numId w:val="19"/>
        </w:numPr>
        <w:spacing w:before="100" w:beforeAutospacing="1" w:after="100" w:afterAutospacing="1" w:line="240" w:lineRule="auto"/>
        <w:divId w:val="448665177"/>
        <w:rPr>
          <w:rFonts w:eastAsia="Times New Roman"/>
        </w:rPr>
      </w:pPr>
      <w:r w:rsidRPr="0087487B">
        <w:rPr>
          <w:rFonts w:eastAsia="Times New Roman"/>
        </w:rPr>
        <w:t xml:space="preserve">Initial drug selection in fluoroquinolone susceptible cases should preferably include all five drugs from groups A&amp;B – moxifloxacin or levofloxacin, </w:t>
      </w:r>
      <w:proofErr w:type="spellStart"/>
      <w:r w:rsidRPr="0087487B">
        <w:rPr>
          <w:rFonts w:eastAsia="Times New Roman"/>
        </w:rPr>
        <w:t>bedaquiline</w:t>
      </w:r>
      <w:proofErr w:type="spellEnd"/>
      <w:r w:rsidRPr="0087487B">
        <w:rPr>
          <w:rFonts w:eastAsia="Times New Roman"/>
        </w:rPr>
        <w:t xml:space="preserve">, linezolid, clofazimine, </w:t>
      </w:r>
      <w:proofErr w:type="spellStart"/>
      <w:proofErr w:type="gramStart"/>
      <w:r w:rsidRPr="0087487B">
        <w:rPr>
          <w:rFonts w:eastAsia="Times New Roman"/>
        </w:rPr>
        <w:t>cycloserine</w:t>
      </w:r>
      <w:proofErr w:type="spellEnd"/>
      <w:proofErr w:type="gramEnd"/>
      <w:r w:rsidRPr="0087487B">
        <w:rPr>
          <w:rFonts w:eastAsia="Times New Roman"/>
        </w:rPr>
        <w:t xml:space="preserve"> </w:t>
      </w:r>
    </w:p>
    <w:p w14:paraId="6414336D" w14:textId="77777777" w:rsidR="00F605B4" w:rsidRPr="0087487B" w:rsidRDefault="00F605B4" w:rsidP="00934C63">
      <w:pPr>
        <w:numPr>
          <w:ilvl w:val="0"/>
          <w:numId w:val="19"/>
        </w:numPr>
        <w:spacing w:before="100" w:beforeAutospacing="1" w:after="100" w:afterAutospacing="1" w:line="240" w:lineRule="auto"/>
        <w:divId w:val="448665177"/>
        <w:rPr>
          <w:rFonts w:eastAsia="Times New Roman"/>
        </w:rPr>
      </w:pPr>
      <w:proofErr w:type="spellStart"/>
      <w:r w:rsidRPr="0087487B">
        <w:rPr>
          <w:rFonts w:eastAsia="Times New Roman"/>
        </w:rPr>
        <w:t>Bedaquiline</w:t>
      </w:r>
      <w:proofErr w:type="spellEnd"/>
      <w:r w:rsidRPr="0087487B">
        <w:rPr>
          <w:rFonts w:eastAsia="Times New Roman"/>
        </w:rPr>
        <w:t xml:space="preserve"> use beyond six months can </w:t>
      </w:r>
      <w:proofErr w:type="gramStart"/>
      <w:r w:rsidRPr="0087487B">
        <w:rPr>
          <w:rFonts w:eastAsia="Times New Roman"/>
        </w:rPr>
        <w:t>be considered</w:t>
      </w:r>
      <w:proofErr w:type="gramEnd"/>
      <w:r w:rsidRPr="0087487B">
        <w:rPr>
          <w:rFonts w:eastAsia="Times New Roman"/>
        </w:rPr>
        <w:t xml:space="preserve"> in those with slower but </w:t>
      </w:r>
      <w:proofErr w:type="spellStart"/>
      <w:r w:rsidRPr="0087487B">
        <w:rPr>
          <w:rFonts w:eastAsia="Times New Roman"/>
        </w:rPr>
        <w:t>favorable</w:t>
      </w:r>
      <w:proofErr w:type="spellEnd"/>
      <w:r w:rsidRPr="0087487B">
        <w:rPr>
          <w:rFonts w:eastAsia="Times New Roman"/>
        </w:rPr>
        <w:t xml:space="preserve"> sputum culture conversion (5–7 months post culture conversion) </w:t>
      </w:r>
    </w:p>
    <w:p w14:paraId="7605CC50" w14:textId="77777777" w:rsidR="00F605B4" w:rsidRPr="0087487B" w:rsidRDefault="00F605B4" w:rsidP="00934C63">
      <w:pPr>
        <w:numPr>
          <w:ilvl w:val="0"/>
          <w:numId w:val="19"/>
        </w:numPr>
        <w:spacing w:before="100" w:beforeAutospacing="1" w:after="100" w:afterAutospacing="1" w:line="240" w:lineRule="auto"/>
        <w:divId w:val="448665177"/>
        <w:rPr>
          <w:rFonts w:eastAsia="Times New Roman"/>
        </w:rPr>
      </w:pPr>
      <w:r w:rsidRPr="0087487B">
        <w:rPr>
          <w:rFonts w:eastAsia="Times New Roman"/>
        </w:rPr>
        <w:t xml:space="preserve">The continuation phase should comprise four </w:t>
      </w:r>
      <w:proofErr w:type="gramStart"/>
      <w:r w:rsidRPr="0087487B">
        <w:rPr>
          <w:rFonts w:eastAsia="Times New Roman"/>
        </w:rPr>
        <w:t>drugs</w:t>
      </w:r>
      <w:proofErr w:type="gramEnd"/>
      <w:r w:rsidRPr="0087487B">
        <w:rPr>
          <w:rFonts w:eastAsia="Times New Roman"/>
        </w:rPr>
        <w:t xml:space="preserve"> </w:t>
      </w:r>
    </w:p>
    <w:p w14:paraId="577C1298" w14:textId="77777777" w:rsidR="00F605B4" w:rsidRPr="0087487B" w:rsidRDefault="00F605B4" w:rsidP="00934C63">
      <w:pPr>
        <w:numPr>
          <w:ilvl w:val="0"/>
          <w:numId w:val="19"/>
        </w:numPr>
        <w:spacing w:before="100" w:beforeAutospacing="1" w:after="100" w:afterAutospacing="1" w:line="240" w:lineRule="auto"/>
        <w:divId w:val="448665177"/>
        <w:rPr>
          <w:rFonts w:eastAsia="Times New Roman"/>
        </w:rPr>
      </w:pPr>
      <w:r w:rsidRPr="0087487B">
        <w:rPr>
          <w:rFonts w:eastAsia="Times New Roman"/>
        </w:rPr>
        <w:t xml:space="preserve">Total duration of treatment should be 18–20 months (or at least 15–17 months post culture conversion) but can be adjusted according to treatment </w:t>
      </w:r>
      <w:proofErr w:type="gramStart"/>
      <w:r w:rsidRPr="0087487B">
        <w:rPr>
          <w:rFonts w:eastAsia="Times New Roman"/>
        </w:rPr>
        <w:t>response</w:t>
      </w:r>
      <w:proofErr w:type="gramEnd"/>
      <w:r w:rsidRPr="0087487B">
        <w:rPr>
          <w:rFonts w:eastAsia="Times New Roman"/>
        </w:rPr>
        <w:t xml:space="preserve"> </w:t>
      </w:r>
    </w:p>
    <w:p w14:paraId="4DE24309" w14:textId="77777777" w:rsidR="00F605B4" w:rsidRPr="0087487B" w:rsidRDefault="00F605B4" w:rsidP="00C74D36">
      <w:pPr>
        <w:ind w:left="360"/>
        <w:divId w:val="448665177"/>
        <w:rPr>
          <w:rFonts w:eastAsia="Times New Roman"/>
          <w:i/>
          <w:iCs/>
        </w:rPr>
      </w:pPr>
      <w:r w:rsidRPr="0087487B">
        <w:rPr>
          <w:rFonts w:eastAsia="Times New Roman"/>
          <w:i/>
          <w:iCs/>
        </w:rPr>
        <w:t xml:space="preserve">Pre-XDR and XDR-TB (or where one or more group A or B agents cannot </w:t>
      </w:r>
      <w:proofErr w:type="gramStart"/>
      <w:r w:rsidRPr="0087487B">
        <w:rPr>
          <w:rFonts w:eastAsia="Times New Roman"/>
          <w:i/>
          <w:iCs/>
        </w:rPr>
        <w:t>be used</w:t>
      </w:r>
      <w:proofErr w:type="gramEnd"/>
      <w:r w:rsidRPr="0087487B">
        <w:rPr>
          <w:rFonts w:eastAsia="Times New Roman"/>
          <w:i/>
          <w:iCs/>
        </w:rPr>
        <w:t xml:space="preserve">): </w:t>
      </w:r>
    </w:p>
    <w:p w14:paraId="7C3286BC" w14:textId="77777777" w:rsidR="00F605B4" w:rsidRPr="0087487B" w:rsidRDefault="00F605B4" w:rsidP="00934C63">
      <w:pPr>
        <w:numPr>
          <w:ilvl w:val="0"/>
          <w:numId w:val="19"/>
        </w:numPr>
        <w:spacing w:before="100" w:beforeAutospacing="1" w:after="100" w:afterAutospacing="1" w:line="240" w:lineRule="auto"/>
        <w:divId w:val="448665177"/>
        <w:rPr>
          <w:rFonts w:eastAsia="Times New Roman"/>
        </w:rPr>
      </w:pPr>
      <w:r w:rsidRPr="0087487B">
        <w:rPr>
          <w:rFonts w:eastAsia="Times New Roman"/>
        </w:rPr>
        <w:lastRenderedPageBreak/>
        <w:t xml:space="preserve">In an MDR-TB case with </w:t>
      </w:r>
      <w:proofErr w:type="gramStart"/>
      <w:r w:rsidRPr="0087487B">
        <w:rPr>
          <w:rFonts w:eastAsia="Times New Roman"/>
        </w:rPr>
        <w:t>additional</w:t>
      </w:r>
      <w:proofErr w:type="gramEnd"/>
      <w:r w:rsidRPr="0087487B">
        <w:rPr>
          <w:rFonts w:eastAsia="Times New Roman"/>
        </w:rPr>
        <w:t xml:space="preserve"> fluoroquinolone resistance and the use of </w:t>
      </w:r>
      <w:proofErr w:type="spellStart"/>
      <w:r w:rsidRPr="0087487B">
        <w:rPr>
          <w:rFonts w:eastAsia="Times New Roman"/>
        </w:rPr>
        <w:t>BPaL</w:t>
      </w:r>
      <w:proofErr w:type="spellEnd"/>
      <w:r w:rsidRPr="0087487B">
        <w:rPr>
          <w:rFonts w:eastAsia="Times New Roman"/>
        </w:rPr>
        <w:t xml:space="preserve"> is excluded, prolonged use of </w:t>
      </w:r>
      <w:proofErr w:type="spellStart"/>
      <w:r w:rsidRPr="0087487B">
        <w:rPr>
          <w:rFonts w:eastAsia="Times New Roman"/>
        </w:rPr>
        <w:t>bedaquiline</w:t>
      </w:r>
      <w:proofErr w:type="spellEnd"/>
      <w:r w:rsidRPr="0087487B">
        <w:rPr>
          <w:rFonts w:eastAsia="Times New Roman"/>
        </w:rPr>
        <w:t xml:space="preserve"> should be considered in addition to the selection of a group C agent(s) as prioritised to ensure a 5-drug regimen. Group C includes ethambutol, pyrazinamide, </w:t>
      </w:r>
      <w:proofErr w:type="spellStart"/>
      <w:r w:rsidRPr="0087487B">
        <w:rPr>
          <w:rFonts w:eastAsia="Times New Roman"/>
        </w:rPr>
        <w:t>delamanid</w:t>
      </w:r>
      <w:proofErr w:type="spellEnd"/>
      <w:r w:rsidRPr="0087487B">
        <w:rPr>
          <w:rFonts w:eastAsia="Times New Roman"/>
        </w:rPr>
        <w:t>, amikacin, carbapenem with clavulanic acid (meropenem or imipenem/</w:t>
      </w:r>
      <w:proofErr w:type="spellStart"/>
      <w:r w:rsidRPr="0087487B">
        <w:rPr>
          <w:rFonts w:eastAsia="Times New Roman"/>
        </w:rPr>
        <w:t>cilastatin</w:t>
      </w:r>
      <w:proofErr w:type="spellEnd"/>
      <w:r w:rsidRPr="0087487B">
        <w:rPr>
          <w:rFonts w:eastAsia="Times New Roman"/>
        </w:rPr>
        <w:t xml:space="preserve">), ethionamide (or </w:t>
      </w:r>
      <w:proofErr w:type="spellStart"/>
      <w:r w:rsidRPr="0087487B">
        <w:rPr>
          <w:rFonts w:eastAsia="Times New Roman"/>
        </w:rPr>
        <w:t>prothionamide</w:t>
      </w:r>
      <w:proofErr w:type="spellEnd"/>
      <w:r w:rsidRPr="0087487B">
        <w:rPr>
          <w:rFonts w:eastAsia="Times New Roman"/>
        </w:rPr>
        <w:t>) and PAS (para-</w:t>
      </w:r>
      <w:proofErr w:type="spellStart"/>
      <w:r w:rsidRPr="0087487B">
        <w:rPr>
          <w:rFonts w:eastAsia="Times New Roman"/>
        </w:rPr>
        <w:t>aminosalicylic</w:t>
      </w:r>
      <w:proofErr w:type="spellEnd"/>
      <w:r w:rsidRPr="0087487B">
        <w:rPr>
          <w:rFonts w:eastAsia="Times New Roman"/>
        </w:rPr>
        <w:t xml:space="preserve"> acid) </w:t>
      </w:r>
    </w:p>
    <w:p w14:paraId="3967CBAA" w14:textId="77777777" w:rsidR="00F605B4" w:rsidRPr="0087487B" w:rsidRDefault="00F605B4" w:rsidP="00934C63">
      <w:pPr>
        <w:numPr>
          <w:ilvl w:val="0"/>
          <w:numId w:val="19"/>
        </w:numPr>
        <w:spacing w:before="100" w:beforeAutospacing="1" w:after="100" w:afterAutospacing="1" w:line="240" w:lineRule="auto"/>
        <w:divId w:val="448665177"/>
        <w:rPr>
          <w:rFonts w:eastAsia="Times New Roman"/>
        </w:rPr>
      </w:pPr>
      <w:r w:rsidRPr="0087487B">
        <w:rPr>
          <w:rFonts w:eastAsia="Times New Roman"/>
        </w:rPr>
        <w:t xml:space="preserve">In a case of XDR-TB (MDR with </w:t>
      </w:r>
      <w:proofErr w:type="gramStart"/>
      <w:r w:rsidRPr="0087487B">
        <w:rPr>
          <w:rFonts w:eastAsia="Times New Roman"/>
        </w:rPr>
        <w:t>additional</w:t>
      </w:r>
      <w:proofErr w:type="gramEnd"/>
      <w:r w:rsidRPr="0087487B">
        <w:rPr>
          <w:rFonts w:eastAsia="Times New Roman"/>
        </w:rPr>
        <w:t xml:space="preserve"> resistance to two or more group A drugs), the same approach to drug selection should be followed.</w:t>
      </w:r>
    </w:p>
    <w:p w14:paraId="6EF78978" w14:textId="77777777" w:rsidR="00C74D36" w:rsidRDefault="00C74D36" w:rsidP="00A668E1">
      <w:pPr>
        <w:pStyle w:val="Heading2"/>
        <w:divId w:val="448665177"/>
      </w:pPr>
    </w:p>
    <w:p w14:paraId="10A8E1D9" w14:textId="53A7FF3C" w:rsidR="00F605B4" w:rsidRPr="0087487B" w:rsidRDefault="00F605B4" w:rsidP="00A668E1">
      <w:pPr>
        <w:pStyle w:val="Heading2"/>
        <w:divId w:val="448665177"/>
      </w:pPr>
      <w:r w:rsidRPr="0087487B">
        <w:t xml:space="preserve">Paediatric considerations </w:t>
      </w:r>
    </w:p>
    <w:p w14:paraId="39ECEE57" w14:textId="77777777" w:rsidR="00F605B4" w:rsidRPr="0087487B" w:rsidRDefault="00F605B4" w:rsidP="00A668E1">
      <w:pPr>
        <w:divId w:val="448665177"/>
      </w:pPr>
      <w:r w:rsidRPr="0087487B">
        <w:t xml:space="preserve">Although treatment principles and recommendations for adults </w:t>
      </w:r>
      <w:proofErr w:type="gramStart"/>
      <w:r w:rsidRPr="0087487B">
        <w:t>broadly apply</w:t>
      </w:r>
      <w:proofErr w:type="gramEnd"/>
      <w:r w:rsidRPr="0087487B">
        <w:t xml:space="preserve"> to children as well, there are some important differences in approach to diagnosis and treatment that should be considered: </w:t>
      </w:r>
    </w:p>
    <w:p w14:paraId="51805566" w14:textId="77777777" w:rsidR="00F605B4" w:rsidRPr="0087487B" w:rsidRDefault="00F605B4" w:rsidP="00934C63">
      <w:pPr>
        <w:pStyle w:val="ListParagraph"/>
        <w:numPr>
          <w:ilvl w:val="0"/>
          <w:numId w:val="32"/>
        </w:numPr>
        <w:spacing w:before="100" w:beforeAutospacing="1" w:after="100" w:afterAutospacing="1" w:line="240" w:lineRule="auto"/>
        <w:divId w:val="448665177"/>
        <w:rPr>
          <w:rFonts w:eastAsia="Times New Roman"/>
        </w:rPr>
      </w:pPr>
      <w:r w:rsidRPr="0087487B">
        <w:rPr>
          <w:rFonts w:eastAsia="Times New Roman"/>
        </w:rPr>
        <w:t xml:space="preserve">Diagnosis is often based on clinical and radiological findings due to: </w:t>
      </w:r>
    </w:p>
    <w:p w14:paraId="3ADE984E" w14:textId="77777777" w:rsidR="000673E4" w:rsidRPr="0087487B" w:rsidRDefault="00F605B4" w:rsidP="00934C63">
      <w:pPr>
        <w:numPr>
          <w:ilvl w:val="1"/>
          <w:numId w:val="32"/>
        </w:numPr>
        <w:spacing w:before="100" w:beforeAutospacing="1" w:after="100" w:afterAutospacing="1" w:line="240" w:lineRule="auto"/>
        <w:divId w:val="448665177"/>
        <w:rPr>
          <w:rFonts w:eastAsia="Times New Roman"/>
        </w:rPr>
      </w:pPr>
      <w:r w:rsidRPr="0087487B">
        <w:rPr>
          <w:rFonts w:eastAsia="Times New Roman"/>
        </w:rPr>
        <w:t>the often paucibacillary nature of disease in younger children</w:t>
      </w:r>
    </w:p>
    <w:p w14:paraId="37D02A96" w14:textId="77777777" w:rsidR="00316DA6" w:rsidRPr="0087487B" w:rsidRDefault="00F605B4" w:rsidP="00934C63">
      <w:pPr>
        <w:numPr>
          <w:ilvl w:val="1"/>
          <w:numId w:val="32"/>
        </w:numPr>
        <w:spacing w:before="100" w:beforeAutospacing="1" w:after="100" w:afterAutospacing="1" w:line="240" w:lineRule="auto"/>
        <w:divId w:val="448665177"/>
        <w:rPr>
          <w:rFonts w:eastAsia="Times New Roman"/>
        </w:rPr>
      </w:pPr>
      <w:r w:rsidRPr="0087487B">
        <w:rPr>
          <w:rFonts w:eastAsia="Times New Roman"/>
        </w:rPr>
        <w:t xml:space="preserve">the lack of adequate diagnostic specimens (pulmonary or extra-pulmonary) to establish microbiological </w:t>
      </w:r>
      <w:proofErr w:type="gramStart"/>
      <w:r w:rsidRPr="0087487B">
        <w:rPr>
          <w:rFonts w:eastAsia="Times New Roman"/>
        </w:rPr>
        <w:t>confirmation</w:t>
      </w:r>
      <w:proofErr w:type="gramEnd"/>
      <w:r w:rsidRPr="0087487B">
        <w:rPr>
          <w:rFonts w:eastAsia="Times New Roman"/>
        </w:rPr>
        <w:t xml:space="preserve"> </w:t>
      </w:r>
    </w:p>
    <w:p w14:paraId="111DF412" w14:textId="77777777" w:rsidR="00BD5EE5" w:rsidRPr="0087487B" w:rsidRDefault="00F605B4" w:rsidP="00934C63">
      <w:pPr>
        <w:numPr>
          <w:ilvl w:val="0"/>
          <w:numId w:val="32"/>
        </w:numPr>
        <w:spacing w:before="100" w:beforeAutospacing="1" w:after="100" w:afterAutospacing="1" w:line="240" w:lineRule="auto"/>
        <w:divId w:val="448665177"/>
        <w:rPr>
          <w:rFonts w:eastAsia="Times New Roman"/>
        </w:rPr>
      </w:pPr>
      <w:r w:rsidRPr="0087487B">
        <w:rPr>
          <w:rFonts w:eastAsia="Times New Roman"/>
        </w:rPr>
        <w:t xml:space="preserve">The need for treatment to be implemented as early as possible using the DST of the likely source case as the basis for regimen </w:t>
      </w:r>
      <w:proofErr w:type="gramStart"/>
      <w:r w:rsidRPr="0087487B">
        <w:rPr>
          <w:rFonts w:eastAsia="Times New Roman"/>
        </w:rPr>
        <w:t>selection</w:t>
      </w:r>
      <w:proofErr w:type="gramEnd"/>
      <w:r w:rsidRPr="0087487B">
        <w:rPr>
          <w:rFonts w:eastAsia="Times New Roman"/>
        </w:rPr>
        <w:t xml:space="preserve"> </w:t>
      </w:r>
    </w:p>
    <w:p w14:paraId="04E5CEA3" w14:textId="77777777" w:rsidR="00066B67" w:rsidRPr="0087487B" w:rsidRDefault="00F605B4" w:rsidP="00934C63">
      <w:pPr>
        <w:numPr>
          <w:ilvl w:val="0"/>
          <w:numId w:val="32"/>
        </w:numPr>
        <w:spacing w:before="100" w:beforeAutospacing="1" w:after="100" w:afterAutospacing="1" w:line="240" w:lineRule="auto"/>
        <w:divId w:val="448665177"/>
        <w:rPr>
          <w:rFonts w:eastAsia="Times New Roman"/>
        </w:rPr>
      </w:pPr>
      <w:r w:rsidRPr="0087487B">
        <w:rPr>
          <w:rFonts w:eastAsia="Times New Roman"/>
        </w:rPr>
        <w:t xml:space="preserve">The same principles that guide regimen design in adults can be used in </w:t>
      </w:r>
      <w:proofErr w:type="gramStart"/>
      <w:r w:rsidRPr="0087487B">
        <w:rPr>
          <w:rFonts w:eastAsia="Times New Roman"/>
        </w:rPr>
        <w:t>children</w:t>
      </w:r>
      <w:proofErr w:type="gramEnd"/>
      <w:r w:rsidRPr="0087487B">
        <w:rPr>
          <w:rFonts w:eastAsia="Times New Roman"/>
        </w:rPr>
        <w:t xml:space="preserve"> </w:t>
      </w:r>
    </w:p>
    <w:p w14:paraId="69176300" w14:textId="77777777" w:rsidR="00AB1FBD" w:rsidRPr="0087487B" w:rsidRDefault="00F605B4" w:rsidP="00934C63">
      <w:pPr>
        <w:numPr>
          <w:ilvl w:val="1"/>
          <w:numId w:val="32"/>
        </w:numPr>
        <w:spacing w:before="100" w:beforeAutospacing="1" w:after="100" w:afterAutospacing="1" w:line="240" w:lineRule="auto"/>
        <w:divId w:val="448665177"/>
        <w:rPr>
          <w:rFonts w:eastAsia="Times New Roman"/>
        </w:rPr>
      </w:pPr>
      <w:r w:rsidRPr="0087487B">
        <w:rPr>
          <w:rFonts w:eastAsia="Times New Roman"/>
        </w:rPr>
        <w:t xml:space="preserve">At least four drugs from groups A and B (a fifth drug can be added in severe disease for </w:t>
      </w:r>
      <w:proofErr w:type="gramStart"/>
      <w:r w:rsidRPr="0087487B">
        <w:rPr>
          <w:rFonts w:eastAsia="Times New Roman"/>
        </w:rPr>
        <w:t>an initial</w:t>
      </w:r>
      <w:proofErr w:type="gramEnd"/>
      <w:r w:rsidRPr="0087487B">
        <w:rPr>
          <w:rFonts w:eastAsia="Times New Roman"/>
        </w:rPr>
        <w:t xml:space="preserve"> period, determined by expected bacterial load and clinical response)</w:t>
      </w:r>
    </w:p>
    <w:p w14:paraId="6AFC43C0" w14:textId="77777777" w:rsidR="00AB1FBD" w:rsidRPr="0087487B" w:rsidRDefault="00F605B4" w:rsidP="00934C63">
      <w:pPr>
        <w:numPr>
          <w:ilvl w:val="1"/>
          <w:numId w:val="32"/>
        </w:numPr>
        <w:spacing w:before="100" w:beforeAutospacing="1" w:after="100" w:afterAutospacing="1" w:line="240" w:lineRule="auto"/>
        <w:divId w:val="448665177"/>
        <w:rPr>
          <w:rFonts w:eastAsia="Times New Roman"/>
        </w:rPr>
      </w:pPr>
      <w:proofErr w:type="spellStart"/>
      <w:r w:rsidRPr="0087487B">
        <w:rPr>
          <w:rFonts w:eastAsia="Times New Roman"/>
        </w:rPr>
        <w:t>Delamanid</w:t>
      </w:r>
      <w:proofErr w:type="spellEnd"/>
      <w:r w:rsidRPr="0087487B">
        <w:rPr>
          <w:rFonts w:eastAsia="Times New Roman"/>
        </w:rPr>
        <w:t xml:space="preserve"> is prioritised from group C, particularly for use in fluoroquinolone resistant </w:t>
      </w:r>
      <w:proofErr w:type="gramStart"/>
      <w:r w:rsidRPr="0087487B">
        <w:rPr>
          <w:rFonts w:eastAsia="Times New Roman"/>
        </w:rPr>
        <w:t>disease</w:t>
      </w:r>
      <w:proofErr w:type="gramEnd"/>
      <w:r w:rsidRPr="0087487B">
        <w:rPr>
          <w:rFonts w:eastAsia="Times New Roman"/>
        </w:rPr>
        <w:t xml:space="preserve"> </w:t>
      </w:r>
    </w:p>
    <w:p w14:paraId="6DFE1957" w14:textId="77777777" w:rsidR="00AB1FBD" w:rsidRPr="0087487B" w:rsidRDefault="00F605B4" w:rsidP="00934C63">
      <w:pPr>
        <w:numPr>
          <w:ilvl w:val="0"/>
          <w:numId w:val="32"/>
        </w:numPr>
        <w:spacing w:before="100" w:beforeAutospacing="1" w:after="100" w:afterAutospacing="1" w:line="240" w:lineRule="auto"/>
        <w:divId w:val="448665177"/>
        <w:rPr>
          <w:rFonts w:eastAsia="Times New Roman"/>
        </w:rPr>
      </w:pPr>
      <w:r w:rsidRPr="0087487B">
        <w:rPr>
          <w:rStyle w:val="Strong"/>
          <w:rFonts w:eastAsia="Times New Roman"/>
        </w:rPr>
        <w:t>‘Injectable free’ regimens</w:t>
      </w:r>
      <w:r w:rsidRPr="0087487B">
        <w:rPr>
          <w:rFonts w:eastAsia="Times New Roman"/>
        </w:rPr>
        <w:t xml:space="preserve"> should </w:t>
      </w:r>
      <w:proofErr w:type="gramStart"/>
      <w:r w:rsidRPr="0087487B">
        <w:rPr>
          <w:rFonts w:eastAsia="Times New Roman"/>
        </w:rPr>
        <w:t>be used</w:t>
      </w:r>
      <w:proofErr w:type="gramEnd"/>
      <w:r w:rsidRPr="0087487B">
        <w:rPr>
          <w:rFonts w:eastAsia="Times New Roman"/>
        </w:rPr>
        <w:t xml:space="preserve"> in all instances unless no other treatment options are available, as hearing loss in children can result in profound language and learning difficulties. </w:t>
      </w:r>
    </w:p>
    <w:p w14:paraId="65A857EB" w14:textId="4D9F2691" w:rsidR="00AB1FBD" w:rsidRPr="0087487B" w:rsidRDefault="00F605B4" w:rsidP="00934C63">
      <w:pPr>
        <w:numPr>
          <w:ilvl w:val="0"/>
          <w:numId w:val="32"/>
        </w:numPr>
        <w:spacing w:before="100" w:beforeAutospacing="1" w:after="100" w:afterAutospacing="1" w:line="240" w:lineRule="auto"/>
        <w:divId w:val="448665177"/>
        <w:rPr>
          <w:rFonts w:eastAsia="Times New Roman"/>
        </w:rPr>
      </w:pPr>
      <w:proofErr w:type="spellStart"/>
      <w:r w:rsidRPr="0087487B">
        <w:rPr>
          <w:rFonts w:eastAsia="Times New Roman"/>
        </w:rPr>
        <w:t>Bedaquiline</w:t>
      </w:r>
      <w:proofErr w:type="spellEnd"/>
      <w:r w:rsidRPr="0087487B">
        <w:rPr>
          <w:rFonts w:eastAsia="Times New Roman"/>
        </w:rPr>
        <w:t xml:space="preserve"> and </w:t>
      </w:r>
      <w:proofErr w:type="spellStart"/>
      <w:r w:rsidRPr="0087487B">
        <w:rPr>
          <w:rFonts w:eastAsia="Times New Roman"/>
        </w:rPr>
        <w:t>delamanid</w:t>
      </w:r>
      <w:proofErr w:type="spellEnd"/>
      <w:r w:rsidRPr="0087487B">
        <w:rPr>
          <w:rFonts w:eastAsia="Times New Roman"/>
        </w:rPr>
        <w:t xml:space="preserve"> can be used in children of all ages, using age and weight </w:t>
      </w:r>
      <w:proofErr w:type="gramStart"/>
      <w:r w:rsidRPr="0087487B">
        <w:rPr>
          <w:rFonts w:eastAsia="Times New Roman"/>
        </w:rPr>
        <w:t>appropriate dosing</w:t>
      </w:r>
      <w:proofErr w:type="gramEnd"/>
      <w:r w:rsidRPr="0087487B">
        <w:rPr>
          <w:rFonts w:eastAsia="Times New Roman"/>
        </w:rPr>
        <w:t>.</w:t>
      </w:r>
      <w:r w:rsidRPr="0087487B">
        <w:rPr>
          <w:rFonts w:eastAsia="Times New Roman"/>
          <w:vertAlign w:val="superscript"/>
        </w:rPr>
        <w:t>6</w:t>
      </w:r>
      <w:r w:rsidRPr="0087487B">
        <w:rPr>
          <w:rFonts w:eastAsia="Times New Roman"/>
        </w:rPr>
        <w:t xml:space="preserve"> Child-friendly formulations are now available.</w:t>
      </w:r>
      <w:r w:rsidR="00C74D36">
        <w:rPr>
          <w:rStyle w:val="FootnoteReference"/>
          <w:rFonts w:eastAsia="Times New Roman"/>
        </w:rPr>
        <w:footnoteReference w:id="2"/>
      </w:r>
    </w:p>
    <w:p w14:paraId="42B4DD5E" w14:textId="77777777" w:rsidR="00D37DBE" w:rsidRPr="0087487B" w:rsidRDefault="00F605B4" w:rsidP="00934C63">
      <w:pPr>
        <w:numPr>
          <w:ilvl w:val="0"/>
          <w:numId w:val="32"/>
        </w:numPr>
        <w:spacing w:before="100" w:beforeAutospacing="1" w:after="100" w:afterAutospacing="1" w:line="240" w:lineRule="auto"/>
        <w:divId w:val="448665177"/>
        <w:rPr>
          <w:rFonts w:eastAsia="Times New Roman"/>
        </w:rPr>
      </w:pPr>
      <w:r w:rsidRPr="0087487B">
        <w:rPr>
          <w:rFonts w:eastAsia="Times New Roman"/>
        </w:rPr>
        <w:t xml:space="preserve">Linezolid could </w:t>
      </w:r>
      <w:proofErr w:type="gramStart"/>
      <w:r w:rsidRPr="0087487B">
        <w:rPr>
          <w:rFonts w:eastAsia="Times New Roman"/>
        </w:rPr>
        <w:t>be used</w:t>
      </w:r>
      <w:proofErr w:type="gramEnd"/>
      <w:r w:rsidRPr="0087487B">
        <w:rPr>
          <w:rFonts w:eastAsia="Times New Roman"/>
        </w:rPr>
        <w:t xml:space="preserve"> for shorter durations based on disease severity and DST, due to its duration dependent toxicity risk. Table 6 provides a suggested approach </w:t>
      </w:r>
      <w:proofErr w:type="gramStart"/>
      <w:r w:rsidRPr="0087487B">
        <w:rPr>
          <w:rFonts w:eastAsia="Times New Roman"/>
        </w:rPr>
        <w:t>in accordance with</w:t>
      </w:r>
      <w:proofErr w:type="gramEnd"/>
      <w:r w:rsidRPr="0087487B">
        <w:rPr>
          <w:rFonts w:eastAsia="Times New Roman"/>
        </w:rPr>
        <w:t xml:space="preserve"> </w:t>
      </w:r>
      <w:r w:rsidRPr="0087487B">
        <w:rPr>
          <w:rStyle w:val="Emphasis"/>
          <w:rFonts w:eastAsia="Times New Roman"/>
          <w:b w:val="0"/>
          <w:bCs w:val="0"/>
        </w:rPr>
        <w:t xml:space="preserve">The Sentinel Project for </w:t>
      </w:r>
      <w:proofErr w:type="spellStart"/>
      <w:r w:rsidRPr="0087487B">
        <w:rPr>
          <w:rStyle w:val="Emphasis"/>
          <w:rFonts w:eastAsia="Times New Roman"/>
          <w:b w:val="0"/>
          <w:bCs w:val="0"/>
        </w:rPr>
        <w:t>Pediatric</w:t>
      </w:r>
      <w:proofErr w:type="spellEnd"/>
      <w:r w:rsidRPr="0087487B">
        <w:rPr>
          <w:rStyle w:val="Emphasis"/>
          <w:rFonts w:eastAsia="Times New Roman"/>
          <w:b w:val="0"/>
          <w:bCs w:val="0"/>
        </w:rPr>
        <w:t xml:space="preserve"> DR-TB (2022 Field Guide)</w:t>
      </w:r>
      <w:r w:rsidRPr="0087487B">
        <w:rPr>
          <w:rFonts w:eastAsia="Times New Roman"/>
        </w:rPr>
        <w:t>.</w:t>
      </w:r>
      <w:r w:rsidRPr="0087487B">
        <w:rPr>
          <w:rFonts w:eastAsia="Times New Roman"/>
          <w:vertAlign w:val="superscript"/>
        </w:rPr>
        <w:t>7</w:t>
      </w:r>
      <w:r w:rsidRPr="0087487B">
        <w:rPr>
          <w:rFonts w:eastAsia="Times New Roman"/>
        </w:rPr>
        <w:t xml:space="preserve"> Use in children with severe disease and proven or possible fluoroquinolone resistance requires close monitoring for bone marrow toxicity, optic neuritis and peripheral neuropathy. </w:t>
      </w:r>
    </w:p>
    <w:p w14:paraId="33006D32" w14:textId="77777777" w:rsidR="00D37DBE" w:rsidRPr="0087487B" w:rsidRDefault="00F605B4" w:rsidP="00934C63">
      <w:pPr>
        <w:numPr>
          <w:ilvl w:val="0"/>
          <w:numId w:val="32"/>
        </w:numPr>
        <w:spacing w:before="100" w:beforeAutospacing="1" w:after="100" w:afterAutospacing="1" w:line="240" w:lineRule="auto"/>
        <w:divId w:val="448665177"/>
        <w:rPr>
          <w:rFonts w:eastAsia="Times New Roman"/>
        </w:rPr>
      </w:pPr>
      <w:r w:rsidRPr="0087487B">
        <w:rPr>
          <w:rFonts w:eastAsia="Times New Roman"/>
        </w:rPr>
        <w:t xml:space="preserve">The shorter course </w:t>
      </w:r>
      <w:proofErr w:type="spellStart"/>
      <w:r w:rsidRPr="0087487B">
        <w:rPr>
          <w:rFonts w:eastAsia="Times New Roman"/>
        </w:rPr>
        <w:t>BPaLM</w:t>
      </w:r>
      <w:proofErr w:type="spellEnd"/>
      <w:r w:rsidRPr="0087487B">
        <w:rPr>
          <w:rFonts w:eastAsia="Times New Roman"/>
        </w:rPr>
        <w:t xml:space="preserve"> and </w:t>
      </w:r>
      <w:proofErr w:type="spellStart"/>
      <w:r w:rsidRPr="0087487B">
        <w:rPr>
          <w:rFonts w:eastAsia="Times New Roman"/>
        </w:rPr>
        <w:t>BPaL</w:t>
      </w:r>
      <w:proofErr w:type="spellEnd"/>
      <w:r w:rsidRPr="0087487B">
        <w:rPr>
          <w:rFonts w:eastAsia="Times New Roman"/>
        </w:rPr>
        <w:t xml:space="preserve"> regimens </w:t>
      </w:r>
      <w:proofErr w:type="gramStart"/>
      <w:r w:rsidRPr="0087487B">
        <w:rPr>
          <w:rFonts w:eastAsia="Times New Roman"/>
        </w:rPr>
        <w:t>are not currently recommended</w:t>
      </w:r>
      <w:proofErr w:type="gramEnd"/>
      <w:r w:rsidRPr="0087487B">
        <w:rPr>
          <w:rFonts w:eastAsia="Times New Roman"/>
        </w:rPr>
        <w:t xml:space="preserve"> for use in children under 15 years; more data are awaited on the safety of </w:t>
      </w:r>
      <w:proofErr w:type="spellStart"/>
      <w:r w:rsidRPr="0087487B">
        <w:rPr>
          <w:rFonts w:eastAsia="Times New Roman"/>
        </w:rPr>
        <w:t>pretomanid</w:t>
      </w:r>
      <w:proofErr w:type="spellEnd"/>
      <w:r w:rsidRPr="0087487B">
        <w:rPr>
          <w:rFonts w:eastAsia="Times New Roman"/>
        </w:rPr>
        <w:t xml:space="preserve"> use in children. </w:t>
      </w:r>
    </w:p>
    <w:p w14:paraId="6DEE8FAA" w14:textId="2C722BA0" w:rsidR="00F605B4" w:rsidRPr="0087487B" w:rsidRDefault="00F605B4" w:rsidP="00934C63">
      <w:pPr>
        <w:numPr>
          <w:ilvl w:val="0"/>
          <w:numId w:val="32"/>
        </w:numPr>
        <w:spacing w:before="100" w:beforeAutospacing="1" w:after="100" w:afterAutospacing="1" w:line="240" w:lineRule="auto"/>
        <w:divId w:val="448665177"/>
        <w:rPr>
          <w:rFonts w:eastAsia="Times New Roman"/>
        </w:rPr>
      </w:pPr>
      <w:r w:rsidRPr="0087487B">
        <w:rPr>
          <w:rFonts w:eastAsia="Times New Roman"/>
        </w:rPr>
        <w:t xml:space="preserve">Children can </w:t>
      </w:r>
      <w:proofErr w:type="gramStart"/>
      <w:r w:rsidRPr="0087487B">
        <w:rPr>
          <w:rFonts w:eastAsia="Times New Roman"/>
        </w:rPr>
        <w:t>likely be</w:t>
      </w:r>
      <w:proofErr w:type="gramEnd"/>
      <w:r w:rsidRPr="0087487B">
        <w:rPr>
          <w:rFonts w:eastAsia="Times New Roman"/>
        </w:rPr>
        <w:t xml:space="preserve"> treated for shorter durations dependent on disease severity: </w:t>
      </w:r>
    </w:p>
    <w:p w14:paraId="2662244B" w14:textId="77777777" w:rsidR="008E434F" w:rsidRPr="0087487B" w:rsidRDefault="00F605B4" w:rsidP="00934C63">
      <w:pPr>
        <w:numPr>
          <w:ilvl w:val="0"/>
          <w:numId w:val="33"/>
        </w:numPr>
        <w:spacing w:before="100" w:beforeAutospacing="1" w:after="100" w:afterAutospacing="1" w:line="240" w:lineRule="auto"/>
        <w:divId w:val="448665177"/>
        <w:rPr>
          <w:rFonts w:eastAsia="Times New Roman"/>
        </w:rPr>
      </w:pPr>
      <w:r w:rsidRPr="0087487B">
        <w:rPr>
          <w:rFonts w:eastAsia="Times New Roman"/>
        </w:rPr>
        <w:t xml:space="preserve">non-severe pulmonary or peripheral lymph node disease, defined as TB disease involving lymph nodes only or affecting less than one lung lobe without cavitation, can be treated for 6–9 </w:t>
      </w:r>
      <w:proofErr w:type="gramStart"/>
      <w:r w:rsidRPr="0087487B">
        <w:rPr>
          <w:rFonts w:eastAsia="Times New Roman"/>
        </w:rPr>
        <w:t>months</w:t>
      </w:r>
      <w:proofErr w:type="gramEnd"/>
    </w:p>
    <w:p w14:paraId="7B7B0244" w14:textId="77777777" w:rsidR="00732C4D" w:rsidRPr="0087487B" w:rsidRDefault="00F605B4" w:rsidP="00934C63">
      <w:pPr>
        <w:numPr>
          <w:ilvl w:val="0"/>
          <w:numId w:val="33"/>
        </w:numPr>
        <w:spacing w:before="100" w:beforeAutospacing="1" w:after="100" w:afterAutospacing="1" w:line="240" w:lineRule="auto"/>
        <w:divId w:val="448665177"/>
        <w:rPr>
          <w:rFonts w:eastAsia="Times New Roman"/>
        </w:rPr>
      </w:pPr>
      <w:r w:rsidRPr="0087487B">
        <w:rPr>
          <w:rFonts w:eastAsia="Times New Roman"/>
        </w:rPr>
        <w:t xml:space="preserve">those with severe disease (not meeting non-severe criteria above) should be considered for 9–12 months </w:t>
      </w:r>
      <w:proofErr w:type="gramStart"/>
      <w:r w:rsidRPr="0087487B">
        <w:rPr>
          <w:rFonts w:eastAsia="Times New Roman"/>
        </w:rPr>
        <w:t>treatment</w:t>
      </w:r>
      <w:proofErr w:type="gramEnd"/>
    </w:p>
    <w:p w14:paraId="1BC9805C" w14:textId="77777777" w:rsidR="00781662" w:rsidRPr="0087487B" w:rsidRDefault="00F605B4" w:rsidP="00934C63">
      <w:pPr>
        <w:numPr>
          <w:ilvl w:val="0"/>
          <w:numId w:val="33"/>
        </w:numPr>
        <w:spacing w:before="100" w:beforeAutospacing="1" w:after="100" w:afterAutospacing="1" w:line="240" w:lineRule="auto"/>
        <w:divId w:val="448665177"/>
        <w:rPr>
          <w:rFonts w:eastAsia="Times New Roman"/>
        </w:rPr>
      </w:pPr>
      <w:r w:rsidRPr="0087487B">
        <w:rPr>
          <w:rFonts w:eastAsia="Times New Roman"/>
        </w:rPr>
        <w:t xml:space="preserve">extra-pulmonary disease other than peripheral lymph node involvement, usually requires 12 months of treatment and specific consideration should </w:t>
      </w:r>
      <w:proofErr w:type="gramStart"/>
      <w:r w:rsidRPr="0087487B">
        <w:rPr>
          <w:rFonts w:eastAsia="Times New Roman"/>
        </w:rPr>
        <w:t>be given</w:t>
      </w:r>
      <w:proofErr w:type="gramEnd"/>
      <w:r w:rsidRPr="0087487B">
        <w:rPr>
          <w:rFonts w:eastAsia="Times New Roman"/>
        </w:rPr>
        <w:t xml:space="preserve"> to cerebral spinal fluid (CSF) drug penetration in children with CNS TB. </w:t>
      </w:r>
    </w:p>
    <w:p w14:paraId="4E9B6FC5" w14:textId="13EE75F4" w:rsidR="00F605B4" w:rsidRPr="0087487B" w:rsidRDefault="00F605B4" w:rsidP="00934C63">
      <w:pPr>
        <w:pStyle w:val="ListParagraph"/>
        <w:numPr>
          <w:ilvl w:val="0"/>
          <w:numId w:val="32"/>
        </w:numPr>
        <w:spacing w:before="100" w:beforeAutospacing="1" w:after="100" w:afterAutospacing="1" w:line="240" w:lineRule="auto"/>
        <w:divId w:val="448665177"/>
        <w:rPr>
          <w:rFonts w:eastAsia="Times New Roman"/>
        </w:rPr>
      </w:pPr>
      <w:r w:rsidRPr="0087487B">
        <w:rPr>
          <w:rFonts w:eastAsia="Times New Roman"/>
        </w:rPr>
        <w:t>Child-friendly formulations should be used where possible to try and overcome issues related to manipulation of adult tablets: poor taste, swallowing difficulties and risk of imprecise dosing.</w:t>
      </w:r>
      <w:r w:rsidRPr="0087487B">
        <w:rPr>
          <w:rFonts w:eastAsia="Times New Roman"/>
          <w:vertAlign w:val="superscript"/>
        </w:rPr>
        <w:t>6,</w:t>
      </w:r>
      <w:proofErr w:type="gramStart"/>
      <w:r w:rsidRPr="0087487B">
        <w:rPr>
          <w:rFonts w:eastAsia="Times New Roman"/>
          <w:vertAlign w:val="superscript"/>
        </w:rPr>
        <w:t>7</w:t>
      </w:r>
      <w:proofErr w:type="gramEnd"/>
      <w:r w:rsidRPr="0087487B">
        <w:rPr>
          <w:rFonts w:eastAsia="Times New Roman"/>
        </w:rPr>
        <w:t xml:space="preserve"> </w:t>
      </w:r>
    </w:p>
    <w:p w14:paraId="3C1BB3E8" w14:textId="1CD46DA5" w:rsidR="00F605B4" w:rsidRPr="0087487B" w:rsidRDefault="00F605B4" w:rsidP="00A668E1">
      <w:pPr>
        <w:divId w:val="448665177"/>
      </w:pPr>
      <w:r w:rsidRPr="0087487B">
        <w:t xml:space="preserve">Based on guidance from </w:t>
      </w:r>
      <w:r w:rsidRPr="0087487B">
        <w:rPr>
          <w:rStyle w:val="Emphasis"/>
          <w:b w:val="0"/>
          <w:bCs w:val="0"/>
        </w:rPr>
        <w:t xml:space="preserve">The Sentinel Project for </w:t>
      </w:r>
      <w:proofErr w:type="spellStart"/>
      <w:r w:rsidRPr="0087487B">
        <w:rPr>
          <w:rStyle w:val="Emphasis"/>
          <w:b w:val="0"/>
          <w:bCs w:val="0"/>
        </w:rPr>
        <w:t>Pediatric</w:t>
      </w:r>
      <w:proofErr w:type="spellEnd"/>
      <w:r w:rsidRPr="0087487B">
        <w:rPr>
          <w:rStyle w:val="Emphasis"/>
          <w:b w:val="0"/>
          <w:bCs w:val="0"/>
        </w:rPr>
        <w:t xml:space="preserve"> DR-TB (2022 Field Guide)</w:t>
      </w:r>
      <w:r w:rsidRPr="0087487B">
        <w:rPr>
          <w:vertAlign w:val="superscript"/>
        </w:rPr>
        <w:t>7</w:t>
      </w:r>
      <w:r w:rsidRPr="0087487B">
        <w:t xml:space="preserve"> and aligned with revised WHO recommendations (2022), an overview of suggested treatment options </w:t>
      </w:r>
      <w:proofErr w:type="gramStart"/>
      <w:r w:rsidRPr="0087487B">
        <w:t>are</w:t>
      </w:r>
      <w:proofErr w:type="gramEnd"/>
      <w:r w:rsidRPr="0087487B">
        <w:t xml:space="preserve"> provided in table 6. These consider </w:t>
      </w:r>
      <w:r w:rsidRPr="0087487B">
        <w:lastRenderedPageBreak/>
        <w:t>disease severity, the fluoroquinolone drug susceptibility status and concern about linezolid toxicity in the regimen design.</w:t>
      </w:r>
      <w:r w:rsidRPr="0087487B">
        <w:rPr>
          <w:vertAlign w:val="superscript"/>
        </w:rPr>
        <w:t>7</w:t>
      </w:r>
      <w:r w:rsidRPr="0087487B">
        <w:t xml:space="preserve"> In all instances, seeking advice from a paediatrician with </w:t>
      </w:r>
      <w:proofErr w:type="gramStart"/>
      <w:r w:rsidRPr="0087487B">
        <w:t>expertise</w:t>
      </w:r>
      <w:proofErr w:type="gramEnd"/>
      <w:r w:rsidRPr="0087487B">
        <w:t xml:space="preserve"> in the management of DR-TB cases is strongly recommended. </w:t>
      </w:r>
    </w:p>
    <w:p w14:paraId="73F3E254" w14:textId="77777777" w:rsidR="00FD54F4" w:rsidRPr="0087487B" w:rsidRDefault="00FD54F4" w:rsidP="00FD54F4">
      <w:pPr>
        <w:pStyle w:val="CDIFigures"/>
        <w:divId w:val="448665177"/>
      </w:pPr>
      <w:bookmarkStart w:id="4" w:name="_Hlk147995304"/>
      <w:r w:rsidRPr="0087487B">
        <w:rPr>
          <w:rStyle w:val="Strong"/>
          <w:b/>
          <w:bCs w:val="0"/>
        </w:rPr>
        <w:t xml:space="preserve">Table 6: Treatment regimen options for children &lt; 15 years of age according to disease severity and fluoroquinolone susceptibility </w:t>
      </w:r>
      <w:proofErr w:type="spellStart"/>
      <w:r w:rsidRPr="0087487B">
        <w:rPr>
          <w:rStyle w:val="Strong"/>
          <w:b/>
          <w:bCs w:val="0"/>
        </w:rPr>
        <w:t>status</w:t>
      </w:r>
      <w:bookmarkEnd w:id="4"/>
      <w:r w:rsidRPr="0087487B">
        <w:rPr>
          <w:rStyle w:val="Strong"/>
          <w:b/>
          <w:bCs w:val="0"/>
          <w:vertAlign w:val="superscript"/>
        </w:rPr>
        <w:t>a</w:t>
      </w:r>
      <w:proofErr w:type="spellEnd"/>
      <w:r w:rsidRPr="0087487B">
        <w:rPr>
          <w:rStyle w:val="Strong"/>
          <w:b/>
          <w:bCs w:val="0"/>
        </w:rPr>
        <w:t xml:space="preserve"> </w:t>
      </w:r>
    </w:p>
    <w:tbl>
      <w:tblPr>
        <w:tblStyle w:val="CDI-StandardTable"/>
        <w:tblW w:w="0" w:type="auto"/>
        <w:tblLook w:val="04A0" w:firstRow="1" w:lastRow="0" w:firstColumn="1" w:lastColumn="0" w:noHBand="0" w:noVBand="1"/>
        <w:tblDescription w:val="A table summarising treatment regimens for children under 15 years of age, listing recommendations for the circumstances of fluoroquinolone-susceptible (or resistance unlikely) versus fluoroquinolone-resistant TB, in cases of non-severe disease (involving a treatment regimen of 6–9 months) or severe disease (treatment regimen of 9–12 months) and listing also the recommendations re linezolid use within the appropriate regimen."/>
      </w:tblPr>
      <w:tblGrid>
        <w:gridCol w:w="1843"/>
        <w:gridCol w:w="4311"/>
        <w:gridCol w:w="4312"/>
      </w:tblGrid>
      <w:tr w:rsidR="00FD54F4" w:rsidRPr="0087487B" w14:paraId="286A647D" w14:textId="77777777" w:rsidTr="00FD54F4">
        <w:trPr>
          <w:cnfStyle w:val="100000000000" w:firstRow="1" w:lastRow="0" w:firstColumn="0" w:lastColumn="0" w:oddVBand="0" w:evenVBand="0" w:oddHBand="0" w:evenHBand="0" w:firstRowFirstColumn="0" w:firstRowLastColumn="0" w:lastRowFirstColumn="0" w:lastRowLastColumn="0"/>
          <w:divId w:val="448665177"/>
        </w:trPr>
        <w:tc>
          <w:tcPr>
            <w:tcW w:w="1843" w:type="dxa"/>
            <w:hideMark/>
          </w:tcPr>
          <w:p w14:paraId="6E3E9F8F" w14:textId="77777777" w:rsidR="00FD54F4" w:rsidRPr="0087487B" w:rsidRDefault="00FD54F4" w:rsidP="00314B37">
            <w:pPr>
              <w:jc w:val="left"/>
              <w:rPr>
                <w:sz w:val="18"/>
                <w:szCs w:val="18"/>
              </w:rPr>
            </w:pPr>
          </w:p>
        </w:tc>
        <w:tc>
          <w:tcPr>
            <w:tcW w:w="4311" w:type="dxa"/>
            <w:hideMark/>
          </w:tcPr>
          <w:p w14:paraId="737C1247" w14:textId="77777777" w:rsidR="00FD54F4" w:rsidRPr="0087487B" w:rsidRDefault="00FD54F4" w:rsidP="00314B37">
            <w:pPr>
              <w:pStyle w:val="NormalWeb"/>
              <w:jc w:val="left"/>
              <w:rPr>
                <w:sz w:val="18"/>
                <w:szCs w:val="18"/>
              </w:rPr>
            </w:pPr>
            <w:r w:rsidRPr="0087487B">
              <w:rPr>
                <w:sz w:val="18"/>
                <w:szCs w:val="18"/>
              </w:rPr>
              <w:t>Fluoroquinolone susceptible</w:t>
            </w:r>
            <w:r w:rsidRPr="0087487B">
              <w:rPr>
                <w:sz w:val="18"/>
                <w:szCs w:val="18"/>
              </w:rPr>
              <w:br/>
              <w:t>(or resistance unlikely)</w:t>
            </w:r>
          </w:p>
        </w:tc>
        <w:tc>
          <w:tcPr>
            <w:tcW w:w="4312" w:type="dxa"/>
            <w:hideMark/>
          </w:tcPr>
          <w:p w14:paraId="79D62C32" w14:textId="77777777" w:rsidR="00FD54F4" w:rsidRPr="0087487B" w:rsidRDefault="00FD54F4" w:rsidP="00314B37">
            <w:pPr>
              <w:pStyle w:val="NormalWeb"/>
              <w:jc w:val="left"/>
              <w:rPr>
                <w:sz w:val="18"/>
                <w:szCs w:val="18"/>
              </w:rPr>
            </w:pPr>
            <w:r w:rsidRPr="0087487B">
              <w:rPr>
                <w:sz w:val="18"/>
                <w:szCs w:val="18"/>
              </w:rPr>
              <w:t>Fluoroquinolone resistant</w:t>
            </w:r>
          </w:p>
        </w:tc>
      </w:tr>
      <w:tr w:rsidR="00FD54F4" w:rsidRPr="0087487B" w14:paraId="3514AFE6" w14:textId="77777777" w:rsidTr="00FD54F4">
        <w:trPr>
          <w:divId w:val="448665177"/>
        </w:trPr>
        <w:tc>
          <w:tcPr>
            <w:tcW w:w="1843" w:type="dxa"/>
            <w:hideMark/>
          </w:tcPr>
          <w:p w14:paraId="149DDFA9" w14:textId="77777777" w:rsidR="00FD54F4" w:rsidRPr="0087487B" w:rsidRDefault="00FD54F4" w:rsidP="00314B37">
            <w:pPr>
              <w:pStyle w:val="NormalWeb"/>
              <w:jc w:val="left"/>
              <w:rPr>
                <w:sz w:val="18"/>
                <w:szCs w:val="18"/>
              </w:rPr>
            </w:pPr>
            <w:r w:rsidRPr="0087487B">
              <w:rPr>
                <w:sz w:val="18"/>
                <w:szCs w:val="18"/>
              </w:rPr>
              <w:t>Non-severe disease –</w:t>
            </w:r>
            <w:r w:rsidRPr="0087487B">
              <w:rPr>
                <w:sz w:val="18"/>
                <w:szCs w:val="18"/>
              </w:rPr>
              <w:br/>
              <w:t>6–9 months</w:t>
            </w:r>
          </w:p>
        </w:tc>
        <w:tc>
          <w:tcPr>
            <w:tcW w:w="4311" w:type="dxa"/>
            <w:hideMark/>
          </w:tcPr>
          <w:p w14:paraId="079A1E7B" w14:textId="77777777" w:rsidR="00FD54F4" w:rsidRPr="0087487B" w:rsidRDefault="00FD54F4" w:rsidP="00314B37">
            <w:pPr>
              <w:pStyle w:val="NormalWeb"/>
              <w:jc w:val="left"/>
              <w:rPr>
                <w:sz w:val="18"/>
                <w:szCs w:val="18"/>
              </w:rPr>
            </w:pPr>
            <w:proofErr w:type="spellStart"/>
            <w:r w:rsidRPr="0087487B">
              <w:rPr>
                <w:sz w:val="18"/>
                <w:szCs w:val="18"/>
              </w:rPr>
              <w:t>Bedaquiline</w:t>
            </w:r>
            <w:proofErr w:type="spellEnd"/>
            <w:r w:rsidRPr="0087487B">
              <w:rPr>
                <w:sz w:val="18"/>
                <w:szCs w:val="18"/>
              </w:rPr>
              <w:t>-levofloxacin-clofazimine-</w:t>
            </w:r>
            <w:proofErr w:type="spellStart"/>
            <w:r w:rsidRPr="0087487B">
              <w:rPr>
                <w:sz w:val="18"/>
                <w:szCs w:val="18"/>
              </w:rPr>
              <w:t>cycloserine</w:t>
            </w:r>
            <w:proofErr w:type="spellEnd"/>
          </w:p>
        </w:tc>
        <w:tc>
          <w:tcPr>
            <w:tcW w:w="4312" w:type="dxa"/>
            <w:hideMark/>
          </w:tcPr>
          <w:p w14:paraId="3E8FFE1F" w14:textId="77777777" w:rsidR="00FD54F4" w:rsidRPr="0087487B" w:rsidRDefault="00FD54F4" w:rsidP="00314B37">
            <w:pPr>
              <w:pStyle w:val="NormalWeb"/>
              <w:jc w:val="left"/>
              <w:rPr>
                <w:sz w:val="18"/>
                <w:szCs w:val="18"/>
              </w:rPr>
            </w:pPr>
            <w:proofErr w:type="spellStart"/>
            <w:r w:rsidRPr="0087487B">
              <w:rPr>
                <w:sz w:val="18"/>
                <w:szCs w:val="18"/>
              </w:rPr>
              <w:t>Bedaquiline</w:t>
            </w:r>
            <w:proofErr w:type="spellEnd"/>
            <w:r w:rsidRPr="0087487B">
              <w:rPr>
                <w:sz w:val="18"/>
                <w:szCs w:val="18"/>
              </w:rPr>
              <w:t>-</w:t>
            </w:r>
            <w:proofErr w:type="spellStart"/>
            <w:r w:rsidRPr="0087487B">
              <w:rPr>
                <w:sz w:val="18"/>
                <w:szCs w:val="18"/>
              </w:rPr>
              <w:t>delamanid</w:t>
            </w:r>
            <w:proofErr w:type="spellEnd"/>
            <w:r w:rsidRPr="0087487B">
              <w:rPr>
                <w:sz w:val="18"/>
                <w:szCs w:val="18"/>
              </w:rPr>
              <w:t>-clofazimine-</w:t>
            </w:r>
            <w:proofErr w:type="spellStart"/>
            <w:r w:rsidRPr="0087487B">
              <w:rPr>
                <w:sz w:val="18"/>
                <w:szCs w:val="18"/>
              </w:rPr>
              <w:t>cycloserine</w:t>
            </w:r>
            <w:proofErr w:type="spellEnd"/>
            <w:r w:rsidRPr="0087487B">
              <w:rPr>
                <w:sz w:val="18"/>
                <w:szCs w:val="18"/>
              </w:rPr>
              <w:t xml:space="preserve"> + linezolid</w:t>
            </w:r>
          </w:p>
        </w:tc>
      </w:tr>
      <w:tr w:rsidR="00FD54F4" w:rsidRPr="0087487B" w14:paraId="1E0E593E" w14:textId="77777777" w:rsidTr="00FD54F4">
        <w:trPr>
          <w:cnfStyle w:val="000000010000" w:firstRow="0" w:lastRow="0" w:firstColumn="0" w:lastColumn="0" w:oddVBand="0" w:evenVBand="0" w:oddHBand="0" w:evenHBand="1" w:firstRowFirstColumn="0" w:firstRowLastColumn="0" w:lastRowFirstColumn="0" w:lastRowLastColumn="0"/>
          <w:divId w:val="448665177"/>
        </w:trPr>
        <w:tc>
          <w:tcPr>
            <w:tcW w:w="1843" w:type="dxa"/>
            <w:hideMark/>
          </w:tcPr>
          <w:p w14:paraId="75ACCCB7" w14:textId="77777777" w:rsidR="00FD54F4" w:rsidRPr="0087487B" w:rsidRDefault="00FD54F4" w:rsidP="00314B37">
            <w:pPr>
              <w:pStyle w:val="NormalWeb"/>
              <w:jc w:val="left"/>
              <w:rPr>
                <w:sz w:val="18"/>
                <w:szCs w:val="18"/>
              </w:rPr>
            </w:pPr>
            <w:r w:rsidRPr="0087487B">
              <w:rPr>
                <w:sz w:val="18"/>
                <w:szCs w:val="18"/>
              </w:rPr>
              <w:t>Severe disease –</w:t>
            </w:r>
            <w:r w:rsidRPr="0087487B">
              <w:rPr>
                <w:sz w:val="18"/>
                <w:szCs w:val="18"/>
              </w:rPr>
              <w:br/>
              <w:t>9–12 months</w:t>
            </w:r>
          </w:p>
        </w:tc>
        <w:tc>
          <w:tcPr>
            <w:tcW w:w="4311" w:type="dxa"/>
            <w:hideMark/>
          </w:tcPr>
          <w:p w14:paraId="0136713C" w14:textId="77777777" w:rsidR="00FD54F4" w:rsidRPr="0087487B" w:rsidRDefault="00FD54F4" w:rsidP="00314B37">
            <w:pPr>
              <w:pStyle w:val="NormalWeb"/>
              <w:jc w:val="left"/>
              <w:rPr>
                <w:sz w:val="18"/>
                <w:szCs w:val="18"/>
              </w:rPr>
            </w:pPr>
            <w:proofErr w:type="spellStart"/>
            <w:r w:rsidRPr="0087487B">
              <w:rPr>
                <w:sz w:val="18"/>
                <w:szCs w:val="18"/>
              </w:rPr>
              <w:t>Bedaquiline</w:t>
            </w:r>
            <w:proofErr w:type="spellEnd"/>
            <w:r w:rsidRPr="0087487B">
              <w:rPr>
                <w:sz w:val="18"/>
                <w:szCs w:val="18"/>
              </w:rPr>
              <w:t>-levofloxacin-clofazimine-</w:t>
            </w:r>
            <w:proofErr w:type="spellStart"/>
            <w:r w:rsidRPr="0087487B">
              <w:rPr>
                <w:sz w:val="18"/>
                <w:szCs w:val="18"/>
              </w:rPr>
              <w:t>cycloserine</w:t>
            </w:r>
            <w:proofErr w:type="spellEnd"/>
            <w:r w:rsidRPr="0087487B">
              <w:rPr>
                <w:sz w:val="18"/>
                <w:szCs w:val="18"/>
              </w:rPr>
              <w:t xml:space="preserve"> + linezolid</w:t>
            </w:r>
          </w:p>
        </w:tc>
        <w:tc>
          <w:tcPr>
            <w:tcW w:w="4312" w:type="dxa"/>
            <w:hideMark/>
          </w:tcPr>
          <w:p w14:paraId="20A2BBE1" w14:textId="77777777" w:rsidR="00FD54F4" w:rsidRPr="0087487B" w:rsidRDefault="00FD54F4" w:rsidP="00314B37">
            <w:pPr>
              <w:pStyle w:val="NormalWeb"/>
              <w:jc w:val="left"/>
              <w:rPr>
                <w:sz w:val="18"/>
                <w:szCs w:val="18"/>
              </w:rPr>
            </w:pPr>
            <w:proofErr w:type="spellStart"/>
            <w:r w:rsidRPr="0087487B">
              <w:rPr>
                <w:sz w:val="18"/>
                <w:szCs w:val="18"/>
              </w:rPr>
              <w:t>Bedaquiline</w:t>
            </w:r>
            <w:proofErr w:type="spellEnd"/>
            <w:r w:rsidRPr="0087487B">
              <w:rPr>
                <w:sz w:val="18"/>
                <w:szCs w:val="18"/>
              </w:rPr>
              <w:t>-</w:t>
            </w:r>
            <w:proofErr w:type="spellStart"/>
            <w:r w:rsidRPr="0087487B">
              <w:rPr>
                <w:sz w:val="18"/>
                <w:szCs w:val="18"/>
              </w:rPr>
              <w:t>delamanid</w:t>
            </w:r>
            <w:proofErr w:type="spellEnd"/>
            <w:r w:rsidRPr="0087487B">
              <w:rPr>
                <w:sz w:val="18"/>
                <w:szCs w:val="18"/>
              </w:rPr>
              <w:t>-clofazimine-</w:t>
            </w:r>
            <w:proofErr w:type="spellStart"/>
            <w:r w:rsidRPr="0087487B">
              <w:rPr>
                <w:sz w:val="18"/>
                <w:szCs w:val="18"/>
              </w:rPr>
              <w:t>cycloserine</w:t>
            </w:r>
            <w:proofErr w:type="spellEnd"/>
            <w:r w:rsidRPr="0087487B">
              <w:rPr>
                <w:sz w:val="18"/>
                <w:szCs w:val="18"/>
              </w:rPr>
              <w:t xml:space="preserve"> + linezolid</w:t>
            </w:r>
          </w:p>
        </w:tc>
      </w:tr>
      <w:tr w:rsidR="00FD54F4" w:rsidRPr="0087487B" w14:paraId="5ECF3DF7" w14:textId="77777777" w:rsidTr="00FD54F4">
        <w:trPr>
          <w:divId w:val="448665177"/>
        </w:trPr>
        <w:tc>
          <w:tcPr>
            <w:tcW w:w="1843" w:type="dxa"/>
            <w:tcBorders>
              <w:bottom w:val="single" w:sz="4" w:space="0" w:color="808080" w:themeColor="background1" w:themeShade="80"/>
            </w:tcBorders>
            <w:hideMark/>
          </w:tcPr>
          <w:p w14:paraId="27826ED6" w14:textId="77777777" w:rsidR="00FD54F4" w:rsidRPr="0087487B" w:rsidRDefault="00FD54F4" w:rsidP="00314B37">
            <w:pPr>
              <w:jc w:val="left"/>
              <w:rPr>
                <w:sz w:val="18"/>
                <w:szCs w:val="18"/>
              </w:rPr>
            </w:pPr>
          </w:p>
        </w:tc>
        <w:tc>
          <w:tcPr>
            <w:tcW w:w="4311" w:type="dxa"/>
            <w:tcBorders>
              <w:bottom w:val="single" w:sz="4" w:space="0" w:color="808080" w:themeColor="background1" w:themeShade="80"/>
            </w:tcBorders>
            <w:hideMark/>
          </w:tcPr>
          <w:p w14:paraId="51E2D8A0" w14:textId="77777777" w:rsidR="00FD54F4" w:rsidRPr="0087487B" w:rsidRDefault="00FD54F4" w:rsidP="00314B37">
            <w:pPr>
              <w:pStyle w:val="NormalWeb"/>
              <w:jc w:val="left"/>
              <w:rPr>
                <w:sz w:val="18"/>
                <w:szCs w:val="18"/>
              </w:rPr>
            </w:pPr>
            <w:r w:rsidRPr="0087487B">
              <w:rPr>
                <w:sz w:val="18"/>
                <w:szCs w:val="18"/>
              </w:rPr>
              <w:t xml:space="preserve">Linezolid use can </w:t>
            </w:r>
            <w:proofErr w:type="gramStart"/>
            <w:r w:rsidRPr="0087487B">
              <w:rPr>
                <w:sz w:val="18"/>
                <w:szCs w:val="18"/>
              </w:rPr>
              <w:t>be limited</w:t>
            </w:r>
            <w:proofErr w:type="gramEnd"/>
            <w:r w:rsidRPr="0087487B">
              <w:rPr>
                <w:sz w:val="18"/>
                <w:szCs w:val="18"/>
              </w:rPr>
              <w:t xml:space="preserve"> to eight weeks or not used if non-severe disease &amp; risk factors for toxicity</w:t>
            </w:r>
          </w:p>
        </w:tc>
        <w:tc>
          <w:tcPr>
            <w:tcW w:w="4312" w:type="dxa"/>
            <w:tcBorders>
              <w:bottom w:val="single" w:sz="4" w:space="0" w:color="808080" w:themeColor="background1" w:themeShade="80"/>
            </w:tcBorders>
            <w:hideMark/>
          </w:tcPr>
          <w:p w14:paraId="069D6242" w14:textId="77777777" w:rsidR="00FD54F4" w:rsidRPr="0087487B" w:rsidRDefault="00FD54F4" w:rsidP="00314B37">
            <w:pPr>
              <w:pStyle w:val="NormalWeb"/>
              <w:jc w:val="left"/>
              <w:rPr>
                <w:sz w:val="18"/>
                <w:szCs w:val="18"/>
              </w:rPr>
            </w:pPr>
            <w:r w:rsidRPr="0087487B">
              <w:rPr>
                <w:sz w:val="18"/>
                <w:szCs w:val="18"/>
              </w:rPr>
              <w:t xml:space="preserve">Linezolid duration to be </w:t>
            </w:r>
            <w:proofErr w:type="gramStart"/>
            <w:r w:rsidRPr="0087487B">
              <w:rPr>
                <w:sz w:val="18"/>
                <w:szCs w:val="18"/>
              </w:rPr>
              <w:t>determined</w:t>
            </w:r>
            <w:proofErr w:type="gramEnd"/>
            <w:r w:rsidRPr="0087487B">
              <w:rPr>
                <w:sz w:val="18"/>
                <w:szCs w:val="18"/>
              </w:rPr>
              <w:t xml:space="preserve"> by severity of disease, drug resistance profile &amp; risk factors for toxicity</w:t>
            </w:r>
          </w:p>
        </w:tc>
      </w:tr>
    </w:tbl>
    <w:p w14:paraId="4F890B37" w14:textId="77777777" w:rsidR="00FD54F4" w:rsidRPr="0087487B" w:rsidRDefault="00FD54F4" w:rsidP="00FD54F4">
      <w:pPr>
        <w:pStyle w:val="CDIfootnotes"/>
        <w:divId w:val="448665177"/>
      </w:pPr>
      <w:r w:rsidRPr="0087487B">
        <w:t>a</w:t>
      </w:r>
      <w:r w:rsidRPr="0087487B">
        <w:tab/>
      </w:r>
      <w:proofErr w:type="spellStart"/>
      <w:r w:rsidRPr="0087487B">
        <w:t>Bedaquiline</w:t>
      </w:r>
      <w:proofErr w:type="spellEnd"/>
      <w:r w:rsidRPr="0087487B">
        <w:t xml:space="preserve"> and </w:t>
      </w:r>
      <w:proofErr w:type="spellStart"/>
      <w:r w:rsidRPr="0087487B">
        <w:t>delamanid</w:t>
      </w:r>
      <w:proofErr w:type="spellEnd"/>
      <w:r w:rsidRPr="0087487B">
        <w:t xml:space="preserve"> can </w:t>
      </w:r>
      <w:proofErr w:type="gramStart"/>
      <w:r w:rsidRPr="0087487B">
        <w:t>be used</w:t>
      </w:r>
      <w:proofErr w:type="gramEnd"/>
      <w:r w:rsidRPr="0087487B">
        <w:t xml:space="preserve"> in children of all ages. </w:t>
      </w:r>
      <w:proofErr w:type="spellStart"/>
      <w:r w:rsidRPr="0087487B">
        <w:t>Pretomanid</w:t>
      </w:r>
      <w:proofErr w:type="spellEnd"/>
      <w:r w:rsidRPr="0087487B">
        <w:t xml:space="preserve"> </w:t>
      </w:r>
      <w:proofErr w:type="gramStart"/>
      <w:r w:rsidRPr="0087487B">
        <w:t>is not recommended</w:t>
      </w:r>
      <w:proofErr w:type="gramEnd"/>
      <w:r w:rsidRPr="0087487B">
        <w:t xml:space="preserve"> in those &lt; 15 years of age. </w:t>
      </w:r>
    </w:p>
    <w:p w14:paraId="53C73BB0" w14:textId="6D5E7A41" w:rsidR="00F605B4" w:rsidRPr="0087487B" w:rsidRDefault="00F605B4" w:rsidP="0063431B">
      <w:pPr>
        <w:pStyle w:val="Heading2"/>
        <w:divId w:val="448665177"/>
      </w:pPr>
      <w:proofErr w:type="spellStart"/>
      <w:r w:rsidRPr="0087487B">
        <w:t>Bedaquiline</w:t>
      </w:r>
      <w:proofErr w:type="spellEnd"/>
      <w:r w:rsidRPr="0087487B">
        <w:t xml:space="preserve"> use for longer than six months and/or in combination with </w:t>
      </w:r>
      <w:proofErr w:type="spellStart"/>
      <w:proofErr w:type="gramStart"/>
      <w:r w:rsidRPr="0087487B">
        <w:t>delamanid</w:t>
      </w:r>
      <w:proofErr w:type="spellEnd"/>
      <w:proofErr w:type="gramEnd"/>
      <w:r w:rsidRPr="0087487B">
        <w:t xml:space="preserve"> </w:t>
      </w:r>
    </w:p>
    <w:p w14:paraId="1D49A0FD" w14:textId="77777777" w:rsidR="00F605B4" w:rsidRPr="0087487B" w:rsidRDefault="00F605B4" w:rsidP="0063431B">
      <w:pPr>
        <w:divId w:val="448665177"/>
      </w:pPr>
      <w:r w:rsidRPr="0087487B">
        <w:t xml:space="preserve">With the advent of the new MDR-TB treatment guidance, two important questions arose in the context of </w:t>
      </w:r>
      <w:proofErr w:type="gramStart"/>
      <w:r w:rsidRPr="0087487B">
        <w:t>additional</w:t>
      </w:r>
      <w:proofErr w:type="gramEnd"/>
      <w:r w:rsidRPr="0087487B">
        <w:t xml:space="preserve"> drug resistance to the fluoroquinolones or in the event of limited suitable drug options such as in an XDR-TB case: </w:t>
      </w:r>
    </w:p>
    <w:p w14:paraId="2CB1B96B" w14:textId="77777777" w:rsidR="00F605B4" w:rsidRPr="0087487B" w:rsidRDefault="00F605B4" w:rsidP="00E96D03">
      <w:pPr>
        <w:pStyle w:val="ListParagraph"/>
        <w:numPr>
          <w:ilvl w:val="0"/>
          <w:numId w:val="34"/>
        </w:numPr>
        <w:divId w:val="448665177"/>
        <w:rPr>
          <w:rFonts w:eastAsia="Times New Roman"/>
        </w:rPr>
      </w:pPr>
      <w:r w:rsidRPr="0087487B">
        <w:rPr>
          <w:rFonts w:eastAsia="Times New Roman"/>
        </w:rPr>
        <w:t xml:space="preserve">the use of </w:t>
      </w:r>
      <w:proofErr w:type="spellStart"/>
      <w:r w:rsidRPr="0087487B">
        <w:rPr>
          <w:rFonts w:eastAsia="Times New Roman"/>
        </w:rPr>
        <w:t>bedaquiline</w:t>
      </w:r>
      <w:proofErr w:type="spellEnd"/>
      <w:r w:rsidRPr="0087487B">
        <w:rPr>
          <w:rFonts w:eastAsia="Times New Roman"/>
        </w:rPr>
        <w:t xml:space="preserve"> for longer than six months </w:t>
      </w:r>
    </w:p>
    <w:p w14:paraId="3922F77E" w14:textId="77777777" w:rsidR="00F605B4" w:rsidRPr="0087487B" w:rsidRDefault="00F605B4" w:rsidP="00E96D03">
      <w:pPr>
        <w:pStyle w:val="ListParagraph"/>
        <w:numPr>
          <w:ilvl w:val="0"/>
          <w:numId w:val="34"/>
        </w:numPr>
        <w:divId w:val="448665177"/>
        <w:rPr>
          <w:rFonts w:eastAsia="Times New Roman"/>
        </w:rPr>
      </w:pPr>
      <w:r w:rsidRPr="0087487B">
        <w:rPr>
          <w:rFonts w:eastAsia="Times New Roman"/>
        </w:rPr>
        <w:t xml:space="preserve">the use of </w:t>
      </w:r>
      <w:proofErr w:type="spellStart"/>
      <w:r w:rsidRPr="0087487B">
        <w:rPr>
          <w:rFonts w:eastAsia="Times New Roman"/>
        </w:rPr>
        <w:t>bedaquiline</w:t>
      </w:r>
      <w:proofErr w:type="spellEnd"/>
      <w:r w:rsidRPr="0087487B">
        <w:rPr>
          <w:rFonts w:eastAsia="Times New Roman"/>
        </w:rPr>
        <w:t xml:space="preserve"> and </w:t>
      </w:r>
      <w:proofErr w:type="spellStart"/>
      <w:r w:rsidRPr="0087487B">
        <w:rPr>
          <w:rFonts w:eastAsia="Times New Roman"/>
        </w:rPr>
        <w:t>delamanid</w:t>
      </w:r>
      <w:proofErr w:type="spellEnd"/>
      <w:r w:rsidRPr="0087487B">
        <w:rPr>
          <w:rFonts w:eastAsia="Times New Roman"/>
        </w:rPr>
        <w:t xml:space="preserve"> in combination. </w:t>
      </w:r>
    </w:p>
    <w:p w14:paraId="0D7D6A67" w14:textId="77777777" w:rsidR="00F605B4" w:rsidRPr="0087487B" w:rsidRDefault="00F605B4" w:rsidP="00A668E1">
      <w:pPr>
        <w:divId w:val="448665177"/>
      </w:pPr>
      <w:proofErr w:type="gramStart"/>
      <w:r w:rsidRPr="0087487B">
        <w:t>An initial</w:t>
      </w:r>
      <w:proofErr w:type="gramEnd"/>
      <w:r w:rsidRPr="0087487B">
        <w:t xml:space="preserve"> assessment of these questions was addressed in 2020 updates on WHO recommendations based on the available evidence.</w:t>
      </w:r>
      <w:r w:rsidRPr="0087487B">
        <w:rPr>
          <w:vertAlign w:val="superscript"/>
        </w:rPr>
        <w:t>24</w:t>
      </w:r>
      <w:r w:rsidRPr="0087487B">
        <w:t xml:space="preserve"> For both questions, the level of evidence in terms of efficacy and effectiveness was not considered adequate but from the drug safety perspective, there appeared no contra-indication to their prolonged use. Therefore, definitive recommendations to support these propositions are yet to be made but in terms of drug safety if </w:t>
      </w:r>
      <w:proofErr w:type="gramStart"/>
      <w:r w:rsidRPr="0087487B">
        <w:t>deemed</w:t>
      </w:r>
      <w:proofErr w:type="gramEnd"/>
      <w:r w:rsidRPr="0087487B">
        <w:t xml:space="preserve"> appropriate their use has not been precluded. The importance of regular monitoring for adverse events throughout was stressed. </w:t>
      </w:r>
    </w:p>
    <w:p w14:paraId="1F67ABCA" w14:textId="77777777" w:rsidR="00F605B4" w:rsidRPr="0087487B" w:rsidRDefault="00F605B4" w:rsidP="00A668E1">
      <w:pPr>
        <w:divId w:val="448665177"/>
      </w:pPr>
      <w:proofErr w:type="spellStart"/>
      <w:r w:rsidRPr="0087487B">
        <w:t>Bedaquiline</w:t>
      </w:r>
      <w:proofErr w:type="spellEnd"/>
      <w:r w:rsidRPr="0087487B">
        <w:t xml:space="preserve"> appears to have good bactericidal and sterilising activity.</w:t>
      </w:r>
      <w:r w:rsidRPr="0087487B">
        <w:rPr>
          <w:vertAlign w:val="superscript"/>
        </w:rPr>
        <w:t>23</w:t>
      </w:r>
      <w:r w:rsidRPr="0087487B">
        <w:t xml:space="preserve"> Given these qualities and the limited alternative drug options available in cases with pre-XDR and XDR-TB, the extended use of </w:t>
      </w:r>
      <w:proofErr w:type="spellStart"/>
      <w:r w:rsidRPr="0087487B">
        <w:t>bedaquiline</w:t>
      </w:r>
      <w:proofErr w:type="spellEnd"/>
      <w:r w:rsidRPr="0087487B">
        <w:t xml:space="preserve"> beyond six months as a core drug should </w:t>
      </w:r>
      <w:proofErr w:type="gramStart"/>
      <w:r w:rsidRPr="0087487B">
        <w:t>be strongly considered</w:t>
      </w:r>
      <w:proofErr w:type="gramEnd"/>
      <w:r w:rsidRPr="0087487B">
        <w:t xml:space="preserve">. The other </w:t>
      </w:r>
      <w:proofErr w:type="gramStart"/>
      <w:r w:rsidRPr="0087487B">
        <w:t>important factor</w:t>
      </w:r>
      <w:proofErr w:type="gramEnd"/>
      <w:r w:rsidRPr="0087487B">
        <w:t xml:space="preserve"> to consider relates to the long half-life of </w:t>
      </w:r>
      <w:proofErr w:type="spellStart"/>
      <w:r w:rsidRPr="0087487B">
        <w:t>bedaquiline</w:t>
      </w:r>
      <w:proofErr w:type="spellEnd"/>
      <w:r w:rsidRPr="0087487B">
        <w:t xml:space="preserve"> (six months). If its use </w:t>
      </w:r>
      <w:proofErr w:type="gramStart"/>
      <w:r w:rsidRPr="0087487B">
        <w:t>is not continued</w:t>
      </w:r>
      <w:proofErr w:type="gramEnd"/>
      <w:r w:rsidRPr="0087487B">
        <w:t xml:space="preserve"> beyond six months and the continuation regimen is potentially sub-optimal, the low level of persistent </w:t>
      </w:r>
      <w:proofErr w:type="spellStart"/>
      <w:r w:rsidRPr="0087487B">
        <w:t>bedaquiline</w:t>
      </w:r>
      <w:proofErr w:type="spellEnd"/>
      <w:r w:rsidRPr="0087487B">
        <w:t xml:space="preserve"> may place it at risk of developing resistance. </w:t>
      </w:r>
    </w:p>
    <w:p w14:paraId="67362AF7" w14:textId="77777777" w:rsidR="00F605B4" w:rsidRPr="0087487B" w:rsidRDefault="00F605B4" w:rsidP="00A668E1">
      <w:pPr>
        <w:divId w:val="448665177"/>
      </w:pPr>
      <w:r w:rsidRPr="0087487B">
        <w:t xml:space="preserve">Delayed culture conversion is another instance where the extended use of </w:t>
      </w:r>
      <w:proofErr w:type="spellStart"/>
      <w:r w:rsidRPr="0087487B">
        <w:t>bedaquiline</w:t>
      </w:r>
      <w:proofErr w:type="spellEnd"/>
      <w:r w:rsidRPr="0087487B">
        <w:t xml:space="preserve"> should </w:t>
      </w:r>
      <w:proofErr w:type="gramStart"/>
      <w:r w:rsidRPr="0087487B">
        <w:t>be considered</w:t>
      </w:r>
      <w:proofErr w:type="gramEnd"/>
      <w:r w:rsidRPr="0087487B">
        <w:t xml:space="preserve">. As noted in the ATS/CDC/ERS/IDSA guidelines, the use of </w:t>
      </w:r>
      <w:proofErr w:type="spellStart"/>
      <w:r w:rsidRPr="0087487B">
        <w:t>bedaquiline</w:t>
      </w:r>
      <w:proofErr w:type="spellEnd"/>
      <w:r w:rsidRPr="0087487B">
        <w:t xml:space="preserve"> </w:t>
      </w:r>
      <w:proofErr w:type="gramStart"/>
      <w:r w:rsidRPr="0087487B">
        <w:t>is recommended</w:t>
      </w:r>
      <w:proofErr w:type="gramEnd"/>
      <w:r w:rsidRPr="0087487B">
        <w:t xml:space="preserve"> up to 5–7 months beyond culture conversion. </w:t>
      </w:r>
    </w:p>
    <w:p w14:paraId="241B239E" w14:textId="77777777" w:rsidR="00F605B4" w:rsidRPr="0087487B" w:rsidRDefault="00F605B4" w:rsidP="00A668E1">
      <w:pPr>
        <w:pStyle w:val="Heading2"/>
        <w:divId w:val="448665177"/>
      </w:pPr>
      <w:r w:rsidRPr="0087487B">
        <w:t xml:space="preserve">Rifampicin resistance (isoniazid susceptible) </w:t>
      </w:r>
    </w:p>
    <w:p w14:paraId="40322EBA" w14:textId="77777777" w:rsidR="00F605B4" w:rsidRPr="0087487B" w:rsidRDefault="00F605B4" w:rsidP="00A668E1">
      <w:pPr>
        <w:divId w:val="448665177"/>
      </w:pPr>
      <w:r w:rsidRPr="0087487B">
        <w:t xml:space="preserve">In patients with rifampicin mono-resistant TB, there has been variation in practice, </w:t>
      </w:r>
      <w:proofErr w:type="gramStart"/>
      <w:r w:rsidRPr="0087487B">
        <w:t>largely determined</w:t>
      </w:r>
      <w:proofErr w:type="gramEnd"/>
      <w:r w:rsidRPr="0087487B">
        <w:t xml:space="preserve"> by expert opinion and capacity for an individualised DST based regimen. The WHO recommendation is that RR-TB </w:t>
      </w:r>
      <w:proofErr w:type="gramStart"/>
      <w:r w:rsidRPr="0087487B">
        <w:t>be treated</w:t>
      </w:r>
      <w:proofErr w:type="gramEnd"/>
      <w:r w:rsidRPr="0087487B">
        <w:t xml:space="preserve"> the same as for MDR-TB, although this is often in the setting of limited access to DST for all first-line drugs and hence the rationale to view it as a proxy for MDR-TB. RR-TB </w:t>
      </w:r>
      <w:proofErr w:type="gramStart"/>
      <w:r w:rsidRPr="0087487B">
        <w:t>is not discussed</w:t>
      </w:r>
      <w:proofErr w:type="gramEnd"/>
      <w:r w:rsidRPr="0087487B">
        <w:t xml:space="preserve"> in the 2019 ATS/ERS/CDC/IDSA guidance. However, the longstanding advice in the USA with the benefit of reliable DST has been to use 12–18 months of isoniazid, </w:t>
      </w:r>
      <w:proofErr w:type="gramStart"/>
      <w:r w:rsidRPr="0087487B">
        <w:t>ethambutol</w:t>
      </w:r>
      <w:proofErr w:type="gramEnd"/>
      <w:r w:rsidRPr="0087487B">
        <w:t xml:space="preserve"> and a fluoroquinolone, and with pyrazinamide for at least the first two months. </w:t>
      </w:r>
    </w:p>
    <w:p w14:paraId="6037769A" w14:textId="77777777" w:rsidR="00F605B4" w:rsidRPr="0087487B" w:rsidRDefault="00F605B4" w:rsidP="00A668E1">
      <w:pPr>
        <w:divId w:val="448665177"/>
      </w:pPr>
      <w:r w:rsidRPr="0087487B">
        <w:lastRenderedPageBreak/>
        <w:t>An Australian study highlighted the dilemma of determining an optimal regimen for treatment of RR-TB because of the small case numbers involved and variability of regimen construct; their overall findings did suggest that the use of an isoniazid and ethambutol based first-line regimen with the addition of a fluoroquinolone for at least 12 months can achieve good outcomes.</w:t>
      </w:r>
      <w:r w:rsidRPr="0087487B">
        <w:rPr>
          <w:vertAlign w:val="superscript"/>
        </w:rPr>
        <w:t>25</w:t>
      </w:r>
      <w:r w:rsidRPr="0087487B">
        <w:t xml:space="preserve"> Studies in the pre-rifampicin era showed that isoniazid and ethambutol containing regimens used for at least 18 months had satisfactory treatment success rates.</w:t>
      </w:r>
      <w:r w:rsidRPr="0087487B">
        <w:rPr>
          <w:vertAlign w:val="superscript"/>
        </w:rPr>
        <w:t xml:space="preserve">26 </w:t>
      </w:r>
    </w:p>
    <w:p w14:paraId="4ACDD467" w14:textId="77777777" w:rsidR="00F605B4" w:rsidRPr="0087487B" w:rsidRDefault="00F605B4" w:rsidP="00A668E1">
      <w:pPr>
        <w:divId w:val="448665177"/>
      </w:pPr>
      <w:r w:rsidRPr="0087487B">
        <w:t xml:space="preserve">The six-month </w:t>
      </w:r>
      <w:proofErr w:type="spellStart"/>
      <w:r w:rsidRPr="0087487B">
        <w:t>BPaLM</w:t>
      </w:r>
      <w:proofErr w:type="spellEnd"/>
      <w:r w:rsidRPr="0087487B">
        <w:t xml:space="preserve"> regimen (WHO), as discussed in the MDR-TB section, </w:t>
      </w:r>
      <w:proofErr w:type="gramStart"/>
      <w:r w:rsidRPr="0087487B">
        <w:t>provides</w:t>
      </w:r>
      <w:proofErr w:type="gramEnd"/>
      <w:r w:rsidRPr="0087487B">
        <w:t xml:space="preserve"> a new option to consider in preference to a longer course regimen. </w:t>
      </w:r>
    </w:p>
    <w:p w14:paraId="42F40BB3" w14:textId="1BB2464C" w:rsidR="00050A61" w:rsidRPr="0087487B" w:rsidRDefault="00F605B4" w:rsidP="009129BB">
      <w:pPr>
        <w:pStyle w:val="Heading3"/>
        <w:divId w:val="448665177"/>
      </w:pPr>
      <w:r w:rsidRPr="0087487B">
        <w:t xml:space="preserve">Recommendations </w:t>
      </w:r>
    </w:p>
    <w:p w14:paraId="512B5AAE" w14:textId="4D3BAF22" w:rsidR="00050A61" w:rsidRPr="0087487B" w:rsidRDefault="009129BB" w:rsidP="00050A61">
      <w:pPr>
        <w:divId w:val="448665177"/>
      </w:pPr>
      <w:r w:rsidRPr="0087487B">
        <w:rPr>
          <w:noProof/>
        </w:rPr>
        <mc:AlternateContent>
          <mc:Choice Requires="wps">
            <w:drawing>
              <wp:inline distT="0" distB="0" distL="0" distR="0" wp14:anchorId="05BA893E" wp14:editId="5B8EAC31">
                <wp:extent cx="6629400" cy="1404620"/>
                <wp:effectExtent l="0" t="0" r="0" b="88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7ECDD"/>
                        </a:solidFill>
                        <a:ln w="9525">
                          <a:noFill/>
                          <a:miter lim="800000"/>
                          <a:headEnd/>
                          <a:tailEnd/>
                        </a:ln>
                      </wps:spPr>
                      <wps:txbx>
                        <w:txbxContent>
                          <w:p w14:paraId="74FA7350" w14:textId="77777777" w:rsidR="009129BB" w:rsidRPr="00B54BFF" w:rsidRDefault="009129BB" w:rsidP="009129BB">
                            <w:r w:rsidRPr="00B54BFF">
                              <w:t xml:space="preserve">Given the recent shift to a shorter treatment regimen for MDR-TB and access to quality assured DST to first line drugs and fluoroquinolones, the following options with priority to the use of a shorter regimen should </w:t>
                            </w:r>
                            <w:proofErr w:type="gramStart"/>
                            <w:r w:rsidRPr="00B54BFF">
                              <w:t>be considered</w:t>
                            </w:r>
                            <w:proofErr w:type="gramEnd"/>
                            <w:r w:rsidRPr="00B54BFF">
                              <w:t xml:space="preserve"> for use in those with proven rifampicin mono-resistance: </w:t>
                            </w:r>
                          </w:p>
                          <w:p w14:paraId="4726C77D" w14:textId="77777777" w:rsidR="009129BB" w:rsidRPr="004112B0" w:rsidRDefault="009129BB" w:rsidP="004112B0">
                            <w:pPr>
                              <w:pStyle w:val="ListParagraph"/>
                              <w:numPr>
                                <w:ilvl w:val="0"/>
                                <w:numId w:val="35"/>
                              </w:numPr>
                              <w:spacing w:before="100" w:beforeAutospacing="1" w:after="100" w:afterAutospacing="1" w:line="240" w:lineRule="auto"/>
                              <w:rPr>
                                <w:rFonts w:eastAsia="Times New Roman"/>
                              </w:rPr>
                            </w:pPr>
                            <w:r w:rsidRPr="004112B0">
                              <w:rPr>
                                <w:rFonts w:eastAsia="Times New Roman"/>
                              </w:rPr>
                              <w:t xml:space="preserve">the fully oral 6-month </w:t>
                            </w:r>
                            <w:proofErr w:type="spellStart"/>
                            <w:r w:rsidRPr="004112B0">
                              <w:rPr>
                                <w:rFonts w:eastAsia="Times New Roman"/>
                              </w:rPr>
                              <w:t>BPaLM</w:t>
                            </w:r>
                            <w:proofErr w:type="spellEnd"/>
                            <w:r w:rsidRPr="004112B0">
                              <w:rPr>
                                <w:rFonts w:eastAsia="Times New Roman"/>
                              </w:rPr>
                              <w:t xml:space="preserve"> regimen (criteria for use as per MDR-TB section) or </w:t>
                            </w:r>
                          </w:p>
                          <w:p w14:paraId="35BFDC5B" w14:textId="77777777" w:rsidR="009129BB" w:rsidRPr="004112B0" w:rsidRDefault="009129BB" w:rsidP="004112B0">
                            <w:pPr>
                              <w:pStyle w:val="ListParagraph"/>
                              <w:numPr>
                                <w:ilvl w:val="0"/>
                                <w:numId w:val="35"/>
                              </w:numPr>
                              <w:spacing w:before="100" w:beforeAutospacing="1" w:after="100" w:afterAutospacing="1" w:line="240" w:lineRule="auto"/>
                              <w:rPr>
                                <w:rFonts w:eastAsia="Times New Roman"/>
                              </w:rPr>
                            </w:pPr>
                            <w:r w:rsidRPr="004112B0">
                              <w:rPr>
                                <w:rFonts w:eastAsia="Times New Roman"/>
                              </w:rPr>
                              <w:t>a longer course regimen in those with more severe or extensive disease or do not meet the criteria for use of the shorter course regimen. These include:</w:t>
                            </w:r>
                          </w:p>
                          <w:p w14:paraId="1C754FA6" w14:textId="77777777" w:rsidR="009129BB" w:rsidRPr="004112B0" w:rsidRDefault="009129BB" w:rsidP="004112B0">
                            <w:pPr>
                              <w:pStyle w:val="ListParagraph"/>
                              <w:numPr>
                                <w:ilvl w:val="0"/>
                                <w:numId w:val="36"/>
                              </w:numPr>
                              <w:spacing w:before="100" w:beforeAutospacing="1" w:after="100" w:afterAutospacing="1" w:line="240" w:lineRule="auto"/>
                              <w:rPr>
                                <w:rFonts w:eastAsia="Times New Roman"/>
                              </w:rPr>
                            </w:pPr>
                            <w:r w:rsidRPr="004112B0">
                              <w:rPr>
                                <w:rFonts w:eastAsia="Times New Roman"/>
                              </w:rPr>
                              <w:t>the all-oral longer course MDR-TB regimen (WHO) or</w:t>
                            </w:r>
                          </w:p>
                          <w:p w14:paraId="1CEAF944" w14:textId="1C578D35" w:rsidR="009129BB" w:rsidRPr="004112B0" w:rsidRDefault="009129BB" w:rsidP="004112B0">
                            <w:pPr>
                              <w:pStyle w:val="ListParagraph"/>
                              <w:numPr>
                                <w:ilvl w:val="0"/>
                                <w:numId w:val="36"/>
                              </w:numPr>
                              <w:spacing w:before="100" w:beforeAutospacing="1" w:after="100" w:afterAutospacing="1" w:line="240" w:lineRule="auto"/>
                              <w:rPr>
                                <w:rFonts w:eastAsia="Times New Roman"/>
                              </w:rPr>
                            </w:pPr>
                            <w:r w:rsidRPr="004112B0">
                              <w:rPr>
                                <w:rFonts w:eastAsia="Times New Roman"/>
                              </w:rPr>
                              <w:t xml:space="preserve">a combination of isoniazid, ethambutol, a fluoroquinolone (levofloxacin or moxifloxacin) and pyrazinamide (for at least the first 2 months) for a duration of 12-18 months (existing ATS recommendation). Some Australian </w:t>
                            </w:r>
                            <w:proofErr w:type="gramStart"/>
                            <w:r w:rsidRPr="004112B0">
                              <w:rPr>
                                <w:rFonts w:eastAsia="Times New Roman"/>
                              </w:rPr>
                              <w:t>jurisdictions</w:t>
                            </w:r>
                            <w:proofErr w:type="gramEnd"/>
                            <w:r w:rsidRPr="004112B0">
                              <w:rPr>
                                <w:rFonts w:eastAsia="Times New Roman"/>
                              </w:rPr>
                              <w:t xml:space="preserve"> recommend pyrazinamide for at least 12 months. </w:t>
                            </w:r>
                          </w:p>
                        </w:txbxContent>
                      </wps:txbx>
                      <wps:bodyPr rot="0" vert="horz" wrap="square" lIns="91440" tIns="45720" rIns="91440" bIns="45720" anchor="t" anchorCtr="0">
                        <a:spAutoFit/>
                      </wps:bodyPr>
                    </wps:wsp>
                  </a:graphicData>
                </a:graphic>
              </wp:inline>
            </w:drawing>
          </mc:Choice>
          <mc:Fallback>
            <w:pict>
              <v:shape w14:anchorId="05BA893E" id="_x0000_s1029"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" fillcolor="#f7ecdd" stroked="f">
                <v:textbox style="mso-fit-shape-to-text:t">
                  <w:txbxContent>
                    <w:p w14:paraId="74FA7350" w14:textId="77777777" w:rsidR="009129BB" w:rsidRPr="00B54BFF" w:rsidRDefault="009129BB" w:rsidP="009129BB">
                      <w:r w:rsidRPr="00B54BFF">
                        <w:t xml:space="preserve">Given the recent shift to a shorter treatment regimen for MDR-TB and access to quality assured DST to first line drugs and fluoroquinolones, the following options with priority to the use of a shorter regimen should </w:t>
                      </w:r>
                      <w:proofErr w:type="gramStart"/>
                      <w:r w:rsidRPr="00B54BFF">
                        <w:t>be considered</w:t>
                      </w:r>
                      <w:proofErr w:type="gramEnd"/>
                      <w:r w:rsidRPr="00B54BFF">
                        <w:t xml:space="preserve"> for use in those with proven rifampicin mono-resistance: </w:t>
                      </w:r>
                    </w:p>
                    <w:p w14:paraId="4726C77D" w14:textId="77777777" w:rsidR="009129BB" w:rsidRPr="004112B0" w:rsidRDefault="009129BB" w:rsidP="004112B0">
                      <w:pPr>
                        <w:pStyle w:val="ListParagraph"/>
                        <w:numPr>
                          <w:ilvl w:val="0"/>
                          <w:numId w:val="35"/>
                        </w:numPr>
                        <w:spacing w:before="100" w:beforeAutospacing="1" w:after="100" w:afterAutospacing="1" w:line="240" w:lineRule="auto"/>
                        <w:rPr>
                          <w:rFonts w:eastAsia="Times New Roman"/>
                        </w:rPr>
                      </w:pPr>
                      <w:r w:rsidRPr="004112B0">
                        <w:rPr>
                          <w:rFonts w:eastAsia="Times New Roman"/>
                        </w:rPr>
                        <w:t xml:space="preserve">the fully oral 6-month </w:t>
                      </w:r>
                      <w:proofErr w:type="spellStart"/>
                      <w:r w:rsidRPr="004112B0">
                        <w:rPr>
                          <w:rFonts w:eastAsia="Times New Roman"/>
                        </w:rPr>
                        <w:t>BPaLM</w:t>
                      </w:r>
                      <w:proofErr w:type="spellEnd"/>
                      <w:r w:rsidRPr="004112B0">
                        <w:rPr>
                          <w:rFonts w:eastAsia="Times New Roman"/>
                        </w:rPr>
                        <w:t xml:space="preserve"> regimen (criteria for use as per MDR-TB section) or </w:t>
                      </w:r>
                    </w:p>
                    <w:p w14:paraId="35BFDC5B" w14:textId="77777777" w:rsidR="009129BB" w:rsidRPr="004112B0" w:rsidRDefault="009129BB" w:rsidP="004112B0">
                      <w:pPr>
                        <w:pStyle w:val="ListParagraph"/>
                        <w:numPr>
                          <w:ilvl w:val="0"/>
                          <w:numId w:val="35"/>
                        </w:numPr>
                        <w:spacing w:before="100" w:beforeAutospacing="1" w:after="100" w:afterAutospacing="1" w:line="240" w:lineRule="auto"/>
                        <w:rPr>
                          <w:rFonts w:eastAsia="Times New Roman"/>
                        </w:rPr>
                      </w:pPr>
                      <w:r w:rsidRPr="004112B0">
                        <w:rPr>
                          <w:rFonts w:eastAsia="Times New Roman"/>
                        </w:rPr>
                        <w:t>a longer course regimen in those with more severe or extensive disease or do not meet the criteria for use of the shorter course regimen. These include:</w:t>
                      </w:r>
                    </w:p>
                    <w:p w14:paraId="1C754FA6" w14:textId="77777777" w:rsidR="009129BB" w:rsidRPr="004112B0" w:rsidRDefault="009129BB" w:rsidP="004112B0">
                      <w:pPr>
                        <w:pStyle w:val="ListParagraph"/>
                        <w:numPr>
                          <w:ilvl w:val="0"/>
                          <w:numId w:val="36"/>
                        </w:numPr>
                        <w:spacing w:before="100" w:beforeAutospacing="1" w:after="100" w:afterAutospacing="1" w:line="240" w:lineRule="auto"/>
                        <w:rPr>
                          <w:rFonts w:eastAsia="Times New Roman"/>
                        </w:rPr>
                      </w:pPr>
                      <w:r w:rsidRPr="004112B0">
                        <w:rPr>
                          <w:rFonts w:eastAsia="Times New Roman"/>
                        </w:rPr>
                        <w:t>the all-oral longer course MDR-TB regimen (WHO) or</w:t>
                      </w:r>
                    </w:p>
                    <w:p w14:paraId="1CEAF944" w14:textId="1C578D35" w:rsidR="009129BB" w:rsidRPr="004112B0" w:rsidRDefault="009129BB" w:rsidP="004112B0">
                      <w:pPr>
                        <w:pStyle w:val="ListParagraph"/>
                        <w:numPr>
                          <w:ilvl w:val="0"/>
                          <w:numId w:val="36"/>
                        </w:numPr>
                        <w:spacing w:before="100" w:beforeAutospacing="1" w:after="100" w:afterAutospacing="1" w:line="240" w:lineRule="auto"/>
                        <w:rPr>
                          <w:rFonts w:eastAsia="Times New Roman"/>
                        </w:rPr>
                      </w:pPr>
                      <w:r w:rsidRPr="004112B0">
                        <w:rPr>
                          <w:rFonts w:eastAsia="Times New Roman"/>
                        </w:rPr>
                        <w:t xml:space="preserve">a combination of isoniazid, ethambutol, a fluoroquinolone (levofloxacin or moxifloxacin) and pyrazinamide (for at least the first 2 months) for a duration of 12-18 months (existing ATS recommendation). Some Australian </w:t>
                      </w:r>
                      <w:proofErr w:type="gramStart"/>
                      <w:r w:rsidRPr="004112B0">
                        <w:rPr>
                          <w:rFonts w:eastAsia="Times New Roman"/>
                        </w:rPr>
                        <w:t>jurisdictions</w:t>
                      </w:r>
                      <w:proofErr w:type="gramEnd"/>
                      <w:r w:rsidRPr="004112B0">
                        <w:rPr>
                          <w:rFonts w:eastAsia="Times New Roman"/>
                        </w:rPr>
                        <w:t xml:space="preserve"> recommend pyrazinamide for at least 12 months. </w:t>
                      </w:r>
                    </w:p>
                  </w:txbxContent>
                </v:textbox>
                <w10:anchorlock/>
              </v:shape>
            </w:pict>
          </mc:Fallback>
        </mc:AlternateContent>
      </w:r>
    </w:p>
    <w:p w14:paraId="78F7005F" w14:textId="77777777" w:rsidR="00F605B4" w:rsidRPr="0087487B" w:rsidRDefault="00F605B4" w:rsidP="00A668E1">
      <w:pPr>
        <w:pStyle w:val="Heading2"/>
        <w:divId w:val="448665177"/>
      </w:pPr>
      <w:r w:rsidRPr="0087487B">
        <w:t xml:space="preserve">Role of surgery </w:t>
      </w:r>
    </w:p>
    <w:p w14:paraId="36D63F0A" w14:textId="77777777" w:rsidR="00F605B4" w:rsidRPr="0087487B" w:rsidRDefault="00F605B4" w:rsidP="00A668E1">
      <w:pPr>
        <w:divId w:val="448665177"/>
      </w:pPr>
      <w:r w:rsidRPr="0087487B">
        <w:t>Although there is limited evidence, expert consensus and reviews support consideration of surgical intervention in combination with adequate medical therapy when the overall clinical assessment is strongly suggestive of treatment failure or a high likelihood of relapse.</w:t>
      </w:r>
      <w:r w:rsidRPr="0087487B">
        <w:rPr>
          <w:vertAlign w:val="superscript"/>
        </w:rPr>
        <w:t>29–31</w:t>
      </w:r>
      <w:r w:rsidRPr="0087487B">
        <w:t xml:space="preserve"> This generally applies to those with more extensive drug resistance and persistent localised disease where the aim of surgery is to reduce the burden of disease and resect foci of disease presumed resistant to therapy. Partial lung resection has been associated with improved treatment success but pneumonectomy a poorer outcome.</w:t>
      </w:r>
      <w:r w:rsidRPr="0087487B">
        <w:rPr>
          <w:vertAlign w:val="superscript"/>
        </w:rPr>
        <w:t>30,</w:t>
      </w:r>
      <w:proofErr w:type="gramStart"/>
      <w:r w:rsidRPr="0087487B">
        <w:rPr>
          <w:vertAlign w:val="superscript"/>
        </w:rPr>
        <w:t>31</w:t>
      </w:r>
      <w:proofErr w:type="gramEnd"/>
      <w:r w:rsidRPr="0087487B">
        <w:t xml:space="preserve"> </w:t>
      </w:r>
    </w:p>
    <w:p w14:paraId="543D264B" w14:textId="77777777" w:rsidR="00F605B4" w:rsidRPr="0087487B" w:rsidRDefault="00F605B4" w:rsidP="00A668E1">
      <w:pPr>
        <w:divId w:val="448665177"/>
      </w:pPr>
      <w:r w:rsidRPr="0087487B">
        <w:t xml:space="preserve">In patients </w:t>
      </w:r>
      <w:proofErr w:type="gramStart"/>
      <w:r w:rsidRPr="0087487B">
        <w:t>being considered</w:t>
      </w:r>
      <w:proofErr w:type="gramEnd"/>
      <w:r w:rsidRPr="0087487B">
        <w:t xml:space="preserve"> for surgery based on a high likelihood of treatment failure or relapse the following criteria are suggested: </w:t>
      </w:r>
    </w:p>
    <w:p w14:paraId="48F2E5E9" w14:textId="77777777" w:rsidR="00F605B4" w:rsidRPr="0087487B" w:rsidRDefault="00F605B4" w:rsidP="00934C63">
      <w:pPr>
        <w:pStyle w:val="ListParagraph"/>
        <w:numPr>
          <w:ilvl w:val="0"/>
          <w:numId w:val="25"/>
        </w:numPr>
        <w:divId w:val="448665177"/>
        <w:rPr>
          <w:rFonts w:eastAsia="Times New Roman"/>
        </w:rPr>
      </w:pPr>
      <w:r w:rsidRPr="0087487B">
        <w:rPr>
          <w:rFonts w:eastAsia="Times New Roman"/>
        </w:rPr>
        <w:t xml:space="preserve">a multidisciplinary approach to patient selection undertaken in close consultation with a thoracic surgeon with appropriate TB </w:t>
      </w:r>
      <w:proofErr w:type="gramStart"/>
      <w:r w:rsidRPr="0087487B">
        <w:rPr>
          <w:rFonts w:eastAsia="Times New Roman"/>
        </w:rPr>
        <w:t>experience</w:t>
      </w:r>
      <w:proofErr w:type="gramEnd"/>
      <w:r w:rsidRPr="0087487B">
        <w:rPr>
          <w:rFonts w:eastAsia="Times New Roman"/>
        </w:rPr>
        <w:t xml:space="preserve"> </w:t>
      </w:r>
    </w:p>
    <w:p w14:paraId="296AED3E" w14:textId="77777777" w:rsidR="00F605B4" w:rsidRPr="0087487B" w:rsidRDefault="00F605B4" w:rsidP="00934C63">
      <w:pPr>
        <w:pStyle w:val="ListParagraph"/>
        <w:numPr>
          <w:ilvl w:val="0"/>
          <w:numId w:val="25"/>
        </w:numPr>
        <w:divId w:val="448665177"/>
        <w:rPr>
          <w:rFonts w:eastAsia="Times New Roman"/>
        </w:rPr>
      </w:pPr>
      <w:r w:rsidRPr="0087487B">
        <w:rPr>
          <w:rFonts w:eastAsia="Times New Roman"/>
        </w:rPr>
        <w:t xml:space="preserve">disease is </w:t>
      </w:r>
      <w:proofErr w:type="gramStart"/>
      <w:r w:rsidRPr="0087487B">
        <w:rPr>
          <w:rFonts w:eastAsia="Times New Roman"/>
        </w:rPr>
        <w:t>largely localised</w:t>
      </w:r>
      <w:proofErr w:type="gramEnd"/>
      <w:r w:rsidRPr="0087487B">
        <w:rPr>
          <w:rFonts w:eastAsia="Times New Roman"/>
        </w:rPr>
        <w:t xml:space="preserve"> and suitable for resection (wedge resection or lobectomy) </w:t>
      </w:r>
    </w:p>
    <w:p w14:paraId="061C35F3" w14:textId="77777777" w:rsidR="00F605B4" w:rsidRPr="0087487B" w:rsidRDefault="00F605B4" w:rsidP="00934C63">
      <w:pPr>
        <w:pStyle w:val="ListParagraph"/>
        <w:numPr>
          <w:ilvl w:val="0"/>
          <w:numId w:val="25"/>
        </w:numPr>
        <w:divId w:val="448665177"/>
        <w:rPr>
          <w:rFonts w:eastAsia="Times New Roman"/>
        </w:rPr>
      </w:pPr>
      <w:r w:rsidRPr="0087487B">
        <w:rPr>
          <w:rFonts w:eastAsia="Times New Roman"/>
        </w:rPr>
        <w:t xml:space="preserve">the patient has pulmonary function assessment to ensure a satisfactory post-surgical lung </w:t>
      </w:r>
      <w:proofErr w:type="gramStart"/>
      <w:r w:rsidRPr="0087487B">
        <w:rPr>
          <w:rFonts w:eastAsia="Times New Roman"/>
        </w:rPr>
        <w:t>capacity</w:t>
      </w:r>
      <w:proofErr w:type="gramEnd"/>
      <w:r w:rsidRPr="0087487B">
        <w:rPr>
          <w:rFonts w:eastAsia="Times New Roman"/>
        </w:rPr>
        <w:t xml:space="preserve"> </w:t>
      </w:r>
    </w:p>
    <w:p w14:paraId="034E5744" w14:textId="77777777" w:rsidR="00F605B4" w:rsidRPr="0087487B" w:rsidRDefault="00F605B4" w:rsidP="00934C63">
      <w:pPr>
        <w:pStyle w:val="ListParagraph"/>
        <w:numPr>
          <w:ilvl w:val="0"/>
          <w:numId w:val="25"/>
        </w:numPr>
        <w:divId w:val="448665177"/>
        <w:rPr>
          <w:rFonts w:eastAsia="Times New Roman"/>
        </w:rPr>
      </w:pPr>
      <w:r w:rsidRPr="0087487B">
        <w:rPr>
          <w:rFonts w:eastAsia="Times New Roman"/>
        </w:rPr>
        <w:t xml:space="preserve">the patient must remain on adequate MDR-TB </w:t>
      </w:r>
      <w:proofErr w:type="gramStart"/>
      <w:r w:rsidRPr="0087487B">
        <w:rPr>
          <w:rFonts w:eastAsia="Times New Roman"/>
        </w:rPr>
        <w:t>therapy</w:t>
      </w:r>
      <w:proofErr w:type="gramEnd"/>
      <w:r w:rsidRPr="0087487B">
        <w:rPr>
          <w:rFonts w:eastAsia="Times New Roman"/>
        </w:rPr>
        <w:t xml:space="preserve"> </w:t>
      </w:r>
    </w:p>
    <w:p w14:paraId="6F7670B7" w14:textId="77777777" w:rsidR="00F605B4" w:rsidRPr="0087487B" w:rsidRDefault="00F605B4" w:rsidP="00934C63">
      <w:pPr>
        <w:pStyle w:val="ListParagraph"/>
        <w:numPr>
          <w:ilvl w:val="0"/>
          <w:numId w:val="25"/>
        </w:numPr>
        <w:divId w:val="448665177"/>
        <w:rPr>
          <w:rFonts w:eastAsia="Times New Roman"/>
        </w:rPr>
      </w:pPr>
      <w:r w:rsidRPr="0087487B">
        <w:rPr>
          <w:rFonts w:eastAsia="Times New Roman"/>
        </w:rPr>
        <w:t xml:space="preserve">appropriate infection control and prevention measures must be in place to protect those present from aerosolised TB bacilli during the surgical procedures. </w:t>
      </w:r>
    </w:p>
    <w:p w14:paraId="2DCF1259" w14:textId="77777777" w:rsidR="00F605B4" w:rsidRPr="0087487B" w:rsidRDefault="00F605B4" w:rsidP="00A668E1">
      <w:pPr>
        <w:pStyle w:val="Heading3"/>
        <w:divId w:val="448665177"/>
      </w:pPr>
      <w:r w:rsidRPr="0087487B">
        <w:t xml:space="preserve">Recommendation </w:t>
      </w:r>
    </w:p>
    <w:p w14:paraId="122AF7A4" w14:textId="32B0206B" w:rsidR="00F605B4" w:rsidRPr="0087487B" w:rsidRDefault="002F205E" w:rsidP="008034E8">
      <w:pPr>
        <w:divId w:val="448665177"/>
      </w:pPr>
      <w:r w:rsidRPr="0087487B">
        <w:rPr>
          <w:noProof/>
        </w:rPr>
        <w:lastRenderedPageBreak/>
        <mc:AlternateContent>
          <mc:Choice Requires="wps">
            <w:drawing>
              <wp:inline distT="0" distB="0" distL="0" distR="0" wp14:anchorId="17A1A41F" wp14:editId="2F2202EB">
                <wp:extent cx="6629400" cy="1404620"/>
                <wp:effectExtent l="0" t="0" r="0" b="889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7ECDD"/>
                        </a:solidFill>
                        <a:ln w="9525">
                          <a:noFill/>
                          <a:miter lim="800000"/>
                          <a:headEnd/>
                          <a:tailEnd/>
                        </a:ln>
                      </wps:spPr>
                      <wps:txbx>
                        <w:txbxContent>
                          <w:p w14:paraId="29D87F57" w14:textId="77777777" w:rsidR="008034E8" w:rsidRPr="00B54BFF" w:rsidRDefault="008034E8" w:rsidP="008034E8">
                            <w:r w:rsidRPr="00B54BFF">
                              <w:t>In patients with a high likelihood of treatment failure or relapse (</w:t>
                            </w:r>
                            <w:proofErr w:type="gramStart"/>
                            <w:r w:rsidRPr="00B54BFF">
                              <w:t>e.g.</w:t>
                            </w:r>
                            <w:proofErr w:type="gramEnd"/>
                            <w:r w:rsidRPr="00B54BFF">
                              <w:t xml:space="preserve"> XDR-TB), surgery can be considered as an adjunct to optimal drug therapy using the following criteria: </w:t>
                            </w:r>
                          </w:p>
                          <w:p w14:paraId="7199F79B" w14:textId="77777777" w:rsidR="008034E8" w:rsidRPr="00B54BFF" w:rsidRDefault="008034E8" w:rsidP="008034E8">
                            <w:pPr>
                              <w:numPr>
                                <w:ilvl w:val="0"/>
                                <w:numId w:val="22"/>
                              </w:numPr>
                              <w:spacing w:before="100" w:beforeAutospacing="1" w:after="100" w:afterAutospacing="1" w:line="240" w:lineRule="auto"/>
                              <w:rPr>
                                <w:rFonts w:eastAsia="Times New Roman"/>
                              </w:rPr>
                            </w:pPr>
                            <w:r w:rsidRPr="00B54BFF">
                              <w:rPr>
                                <w:rFonts w:eastAsia="Times New Roman"/>
                              </w:rPr>
                              <w:t xml:space="preserve">a multidisciplinary approach that includes close consultation with a thoracic surgeon with TB experience to ensure careful patient </w:t>
                            </w:r>
                            <w:proofErr w:type="gramStart"/>
                            <w:r w:rsidRPr="00B54BFF">
                              <w:rPr>
                                <w:rFonts w:eastAsia="Times New Roman"/>
                              </w:rPr>
                              <w:t>selection</w:t>
                            </w:r>
                            <w:proofErr w:type="gramEnd"/>
                            <w:r w:rsidRPr="00B54BFF">
                              <w:rPr>
                                <w:rFonts w:eastAsia="Times New Roman"/>
                              </w:rPr>
                              <w:t xml:space="preserve"> </w:t>
                            </w:r>
                          </w:p>
                          <w:p w14:paraId="0DEBA72A" w14:textId="77777777" w:rsidR="008034E8" w:rsidRDefault="008034E8" w:rsidP="008034E8">
                            <w:pPr>
                              <w:numPr>
                                <w:ilvl w:val="0"/>
                                <w:numId w:val="22"/>
                              </w:numPr>
                              <w:spacing w:before="100" w:beforeAutospacing="1" w:after="100" w:afterAutospacing="1" w:line="240" w:lineRule="auto"/>
                              <w:rPr>
                                <w:rFonts w:eastAsia="Times New Roman"/>
                              </w:rPr>
                            </w:pPr>
                            <w:r w:rsidRPr="00B54BFF">
                              <w:rPr>
                                <w:rFonts w:eastAsia="Times New Roman"/>
                              </w:rPr>
                              <w:t xml:space="preserve">disease is </w:t>
                            </w:r>
                            <w:proofErr w:type="gramStart"/>
                            <w:r w:rsidRPr="00B54BFF">
                              <w:rPr>
                                <w:rFonts w:eastAsia="Times New Roman"/>
                              </w:rPr>
                              <w:t>largely localised</w:t>
                            </w:r>
                            <w:proofErr w:type="gramEnd"/>
                            <w:r w:rsidRPr="00B54BFF">
                              <w:rPr>
                                <w:rFonts w:eastAsia="Times New Roman"/>
                              </w:rPr>
                              <w:t xml:space="preserve"> and suitable for partial resection (wedge resection, segmentectomy or lobectomy) </w:t>
                            </w:r>
                          </w:p>
                          <w:p w14:paraId="19F6EDBE" w14:textId="0F1AB057" w:rsidR="002F205E" w:rsidRPr="008034E8" w:rsidRDefault="008034E8" w:rsidP="008034E8">
                            <w:pPr>
                              <w:numPr>
                                <w:ilvl w:val="0"/>
                                <w:numId w:val="22"/>
                              </w:numPr>
                              <w:spacing w:before="100" w:beforeAutospacing="1" w:after="100" w:afterAutospacing="1" w:line="240" w:lineRule="auto"/>
                              <w:rPr>
                                <w:rFonts w:eastAsia="Times New Roman"/>
                              </w:rPr>
                            </w:pPr>
                            <w:r w:rsidRPr="008034E8">
                              <w:rPr>
                                <w:rFonts w:eastAsia="Times New Roman"/>
                              </w:rPr>
                              <w:t xml:space="preserve">pneumonectomy should be reserved for a major complication </w:t>
                            </w:r>
                            <w:proofErr w:type="gramStart"/>
                            <w:r w:rsidRPr="008034E8">
                              <w:rPr>
                                <w:rFonts w:eastAsia="Times New Roman"/>
                              </w:rPr>
                              <w:t>e.g.</w:t>
                            </w:r>
                            <w:proofErr w:type="gramEnd"/>
                            <w:r w:rsidRPr="008034E8">
                              <w:rPr>
                                <w:rFonts w:eastAsia="Times New Roman"/>
                              </w:rPr>
                              <w:t xml:space="preserve"> severe haemoptysis.</w:t>
                            </w:r>
                          </w:p>
                        </w:txbxContent>
                      </wps:txbx>
                      <wps:bodyPr rot="0" vert="horz" wrap="square" lIns="91440" tIns="45720" rIns="91440" bIns="45720" anchor="t" anchorCtr="0">
                        <a:spAutoFit/>
                      </wps:bodyPr>
                    </wps:wsp>
                  </a:graphicData>
                </a:graphic>
              </wp:inline>
            </w:drawing>
          </mc:Choice>
          <mc:Fallback>
            <w:pict>
              <v:shape w14:anchorId="17A1A41F" id="_x0000_s1030"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" fillcolor="#f7ecdd" stroked="f">
                <v:textbox style="mso-fit-shape-to-text:t">
                  <w:txbxContent>
                    <w:p w14:paraId="29D87F57" w14:textId="77777777" w:rsidR="008034E8" w:rsidRPr="00B54BFF" w:rsidRDefault="008034E8" w:rsidP="008034E8">
                      <w:r w:rsidRPr="00B54BFF">
                        <w:t>In patients with a high likelihood of treatment failure or relapse (</w:t>
                      </w:r>
                      <w:proofErr w:type="gramStart"/>
                      <w:r w:rsidRPr="00B54BFF">
                        <w:t>e.g.</w:t>
                      </w:r>
                      <w:proofErr w:type="gramEnd"/>
                      <w:r w:rsidRPr="00B54BFF">
                        <w:t xml:space="preserve"> XDR-TB), surgery can be considered as an adjunct to optimal drug therapy using the following criteria: </w:t>
                      </w:r>
                    </w:p>
                    <w:p w14:paraId="7199F79B" w14:textId="77777777" w:rsidR="008034E8" w:rsidRPr="00B54BFF" w:rsidRDefault="008034E8" w:rsidP="008034E8">
                      <w:pPr>
                        <w:numPr>
                          <w:ilvl w:val="0"/>
                          <w:numId w:val="22"/>
                        </w:numPr>
                        <w:spacing w:before="100" w:beforeAutospacing="1" w:after="100" w:afterAutospacing="1" w:line="240" w:lineRule="auto"/>
                        <w:rPr>
                          <w:rFonts w:eastAsia="Times New Roman"/>
                        </w:rPr>
                      </w:pPr>
                      <w:r w:rsidRPr="00B54BFF">
                        <w:rPr>
                          <w:rFonts w:eastAsia="Times New Roman"/>
                        </w:rPr>
                        <w:t xml:space="preserve">a multidisciplinary approach that includes close consultation with a thoracic surgeon with TB experience to ensure careful patient </w:t>
                      </w:r>
                      <w:proofErr w:type="gramStart"/>
                      <w:r w:rsidRPr="00B54BFF">
                        <w:rPr>
                          <w:rFonts w:eastAsia="Times New Roman"/>
                        </w:rPr>
                        <w:t>selection</w:t>
                      </w:r>
                      <w:proofErr w:type="gramEnd"/>
                      <w:r w:rsidRPr="00B54BFF">
                        <w:rPr>
                          <w:rFonts w:eastAsia="Times New Roman"/>
                        </w:rPr>
                        <w:t xml:space="preserve"> </w:t>
                      </w:r>
                    </w:p>
                    <w:p w14:paraId="0DEBA72A" w14:textId="77777777" w:rsidR="008034E8" w:rsidRDefault="008034E8" w:rsidP="008034E8">
                      <w:pPr>
                        <w:numPr>
                          <w:ilvl w:val="0"/>
                          <w:numId w:val="22"/>
                        </w:numPr>
                        <w:spacing w:before="100" w:beforeAutospacing="1" w:after="100" w:afterAutospacing="1" w:line="240" w:lineRule="auto"/>
                        <w:rPr>
                          <w:rFonts w:eastAsia="Times New Roman"/>
                        </w:rPr>
                      </w:pPr>
                      <w:r w:rsidRPr="00B54BFF">
                        <w:rPr>
                          <w:rFonts w:eastAsia="Times New Roman"/>
                        </w:rPr>
                        <w:t xml:space="preserve">disease is </w:t>
                      </w:r>
                      <w:proofErr w:type="gramStart"/>
                      <w:r w:rsidRPr="00B54BFF">
                        <w:rPr>
                          <w:rFonts w:eastAsia="Times New Roman"/>
                        </w:rPr>
                        <w:t>largely localised</w:t>
                      </w:r>
                      <w:proofErr w:type="gramEnd"/>
                      <w:r w:rsidRPr="00B54BFF">
                        <w:rPr>
                          <w:rFonts w:eastAsia="Times New Roman"/>
                        </w:rPr>
                        <w:t xml:space="preserve"> and suitable for partial resection (wedge resection, segmentectomy or lobectomy) </w:t>
                      </w:r>
                    </w:p>
                    <w:p w14:paraId="19F6EDBE" w14:textId="0F1AB057" w:rsidR="002F205E" w:rsidRPr="008034E8" w:rsidRDefault="008034E8" w:rsidP="008034E8">
                      <w:pPr>
                        <w:numPr>
                          <w:ilvl w:val="0"/>
                          <w:numId w:val="22"/>
                        </w:numPr>
                        <w:spacing w:before="100" w:beforeAutospacing="1" w:after="100" w:afterAutospacing="1" w:line="240" w:lineRule="auto"/>
                        <w:rPr>
                          <w:rFonts w:eastAsia="Times New Roman"/>
                        </w:rPr>
                      </w:pPr>
                      <w:r w:rsidRPr="008034E8">
                        <w:rPr>
                          <w:rFonts w:eastAsia="Times New Roman"/>
                        </w:rPr>
                        <w:t xml:space="preserve">pneumonectomy should be reserved for a major complication </w:t>
                      </w:r>
                      <w:proofErr w:type="gramStart"/>
                      <w:r w:rsidRPr="008034E8">
                        <w:rPr>
                          <w:rFonts w:eastAsia="Times New Roman"/>
                        </w:rPr>
                        <w:t>e.g.</w:t>
                      </w:r>
                      <w:proofErr w:type="gramEnd"/>
                      <w:r w:rsidRPr="008034E8">
                        <w:rPr>
                          <w:rFonts w:eastAsia="Times New Roman"/>
                        </w:rPr>
                        <w:t xml:space="preserve"> severe haemoptysis.</w:t>
                      </w:r>
                    </w:p>
                  </w:txbxContent>
                </v:textbox>
                <w10:anchorlock/>
              </v:shape>
            </w:pict>
          </mc:Fallback>
        </mc:AlternateContent>
      </w:r>
      <w:r w:rsidR="00F605B4" w:rsidRPr="0087487B">
        <w:rPr>
          <w:rFonts w:eastAsia="Times New Roman"/>
        </w:rPr>
        <w:t xml:space="preserve"> </w:t>
      </w:r>
    </w:p>
    <w:p w14:paraId="156B0FFE" w14:textId="77777777" w:rsidR="00F605B4" w:rsidRPr="0087487B" w:rsidRDefault="00F605B4" w:rsidP="00A668E1">
      <w:pPr>
        <w:pStyle w:val="Heading3"/>
        <w:divId w:val="448665177"/>
      </w:pPr>
      <w:r w:rsidRPr="0087487B">
        <w:t xml:space="preserve">Special situations </w:t>
      </w:r>
    </w:p>
    <w:p w14:paraId="47514CB4" w14:textId="77777777" w:rsidR="00F605B4" w:rsidRPr="0087487B" w:rsidRDefault="00F605B4" w:rsidP="00A668E1">
      <w:pPr>
        <w:divId w:val="448665177"/>
      </w:pPr>
      <w:r w:rsidRPr="0087487B">
        <w:t xml:space="preserve">The following special situations that arise in the management of an MDR-TB case are alluded to briefly. In general, it is recommended that because of the complexities involved, cases such as those with HIV co-infection or are pregnant should be jointly managed by clinicians with the relevant </w:t>
      </w:r>
      <w:proofErr w:type="gramStart"/>
      <w:r w:rsidRPr="0087487B">
        <w:t>expertise</w:t>
      </w:r>
      <w:proofErr w:type="gramEnd"/>
      <w:r w:rsidRPr="0087487B">
        <w:t xml:space="preserve">. </w:t>
      </w:r>
    </w:p>
    <w:p w14:paraId="14F86F88" w14:textId="77777777" w:rsidR="00F605B4" w:rsidRPr="0087487B" w:rsidRDefault="00F605B4">
      <w:pPr>
        <w:pStyle w:val="Heading3"/>
        <w:divId w:val="448665177"/>
        <w:rPr>
          <w:rFonts w:eastAsia="Times New Roman"/>
        </w:rPr>
      </w:pPr>
      <w:r w:rsidRPr="0087487B">
        <w:rPr>
          <w:rFonts w:eastAsia="Times New Roman"/>
        </w:rPr>
        <w:t xml:space="preserve">MDR-TB and HIV Infection </w:t>
      </w:r>
    </w:p>
    <w:p w14:paraId="19DB7B97" w14:textId="77777777" w:rsidR="00F605B4" w:rsidRPr="0087487B" w:rsidRDefault="00F605B4" w:rsidP="00A668E1">
      <w:pPr>
        <w:divId w:val="448665177"/>
      </w:pPr>
      <w:r w:rsidRPr="0087487B">
        <w:t xml:space="preserve">Key issues that arise in the treatment of an HIV positive person diagnosed with MDR-TB include: </w:t>
      </w:r>
    </w:p>
    <w:p w14:paraId="142118C4" w14:textId="538F719C" w:rsidR="00F605B4" w:rsidRPr="0087487B" w:rsidRDefault="00F605B4" w:rsidP="00934C63">
      <w:pPr>
        <w:pStyle w:val="ListParagraph"/>
        <w:numPr>
          <w:ilvl w:val="0"/>
          <w:numId w:val="22"/>
        </w:numPr>
        <w:divId w:val="448665177"/>
        <w:rPr>
          <w:rFonts w:eastAsia="Times New Roman"/>
        </w:rPr>
      </w:pPr>
      <w:r w:rsidRPr="0087487B">
        <w:rPr>
          <w:rFonts w:eastAsia="Times New Roman"/>
        </w:rPr>
        <w:t xml:space="preserve">drug-drug interactions, </w:t>
      </w:r>
      <w:proofErr w:type="gramStart"/>
      <w:r w:rsidRPr="0087487B">
        <w:rPr>
          <w:rFonts w:eastAsia="Times New Roman"/>
        </w:rPr>
        <w:t>e.g.</w:t>
      </w:r>
      <w:proofErr w:type="gramEnd"/>
      <w:r w:rsidRPr="0087487B">
        <w:rPr>
          <w:rFonts w:eastAsia="Times New Roman"/>
        </w:rPr>
        <w:t xml:space="preserve"> potential for reduced </w:t>
      </w:r>
      <w:proofErr w:type="spellStart"/>
      <w:r w:rsidRPr="0087487B">
        <w:rPr>
          <w:rFonts w:eastAsia="Times New Roman"/>
        </w:rPr>
        <w:t>bedaquiline</w:t>
      </w:r>
      <w:proofErr w:type="spellEnd"/>
      <w:r w:rsidRPr="0087487B">
        <w:rPr>
          <w:rFonts w:eastAsia="Times New Roman"/>
        </w:rPr>
        <w:t xml:space="preserve"> concentration due to the enzyme inducing effect of efavirenz </w:t>
      </w:r>
    </w:p>
    <w:p w14:paraId="54BFC090" w14:textId="3113744D" w:rsidR="00F605B4" w:rsidRPr="0087487B" w:rsidRDefault="00F605B4" w:rsidP="00934C63">
      <w:pPr>
        <w:pStyle w:val="ListParagraph"/>
        <w:numPr>
          <w:ilvl w:val="0"/>
          <w:numId w:val="22"/>
        </w:numPr>
        <w:divId w:val="448665177"/>
        <w:rPr>
          <w:rFonts w:eastAsia="Times New Roman"/>
        </w:rPr>
      </w:pPr>
      <w:r w:rsidRPr="0087487B">
        <w:rPr>
          <w:rFonts w:eastAsia="Times New Roman"/>
        </w:rPr>
        <w:t xml:space="preserve">potential for overlapping drug toxicities and adverse </w:t>
      </w:r>
      <w:proofErr w:type="gramStart"/>
      <w:r w:rsidRPr="0087487B">
        <w:rPr>
          <w:rFonts w:eastAsia="Times New Roman"/>
        </w:rPr>
        <w:t>effects</w:t>
      </w:r>
      <w:proofErr w:type="gramEnd"/>
      <w:r w:rsidRPr="0087487B">
        <w:rPr>
          <w:rFonts w:eastAsia="Times New Roman"/>
        </w:rPr>
        <w:t xml:space="preserve"> </w:t>
      </w:r>
    </w:p>
    <w:p w14:paraId="5B4B3857" w14:textId="39DB88FC" w:rsidR="00F605B4" w:rsidRPr="0087487B" w:rsidRDefault="00F605B4" w:rsidP="00934C63">
      <w:pPr>
        <w:pStyle w:val="ListParagraph"/>
        <w:numPr>
          <w:ilvl w:val="0"/>
          <w:numId w:val="22"/>
        </w:numPr>
        <w:divId w:val="448665177"/>
        <w:rPr>
          <w:rFonts w:eastAsia="Times New Roman"/>
        </w:rPr>
      </w:pPr>
      <w:r w:rsidRPr="0087487B">
        <w:rPr>
          <w:rFonts w:eastAsia="Times New Roman"/>
        </w:rPr>
        <w:t xml:space="preserve">immune reconstitution inflammatory syndrome (IRIS) </w:t>
      </w:r>
    </w:p>
    <w:p w14:paraId="6FBD4E40" w14:textId="10290DBA" w:rsidR="00F605B4" w:rsidRPr="0087487B" w:rsidRDefault="00F605B4" w:rsidP="00934C63">
      <w:pPr>
        <w:pStyle w:val="ListParagraph"/>
        <w:numPr>
          <w:ilvl w:val="0"/>
          <w:numId w:val="22"/>
        </w:numPr>
        <w:divId w:val="448665177"/>
        <w:rPr>
          <w:rFonts w:eastAsia="Times New Roman"/>
        </w:rPr>
      </w:pPr>
      <w:r w:rsidRPr="0087487B">
        <w:rPr>
          <w:rFonts w:eastAsia="Times New Roman"/>
        </w:rPr>
        <w:t xml:space="preserve">the complexities of treatment and the need for rigorous monitoring, including consideration of therapeutic drug monitoring. </w:t>
      </w:r>
    </w:p>
    <w:p w14:paraId="4C6FD5A0" w14:textId="77777777" w:rsidR="00F605B4" w:rsidRPr="0087487B" w:rsidRDefault="00F605B4" w:rsidP="00A668E1">
      <w:pPr>
        <w:divId w:val="448665177"/>
      </w:pPr>
      <w:r w:rsidRPr="0087487B">
        <w:t xml:space="preserve">To best manage the patient, close collaboration between the MDR-TB and HIV clinicians will be essential. The WHO recommendation </w:t>
      </w:r>
      <w:proofErr w:type="gramStart"/>
      <w:r w:rsidRPr="0087487B">
        <w:t>remains</w:t>
      </w:r>
      <w:proofErr w:type="gramEnd"/>
      <w:r w:rsidRPr="0087487B">
        <w:t xml:space="preserve"> that antiretroviral therapy (ARV) is strongly advised for all patients with HIV and drug-resistant tuberculosis requiring treatment, irrespective of CD4 cell count.</w:t>
      </w:r>
      <w:r w:rsidRPr="0087487B">
        <w:rPr>
          <w:vertAlign w:val="superscript"/>
        </w:rPr>
        <w:t>1</w:t>
      </w:r>
      <w:r w:rsidRPr="0087487B">
        <w:t xml:space="preserve"> Further, if ARV is not yet being undertaken, it should be initiated within the first 8 weeks following the start of anti-tuberculosis treatment.</w:t>
      </w:r>
    </w:p>
    <w:p w14:paraId="79633603" w14:textId="77777777" w:rsidR="00F605B4" w:rsidRPr="0087487B" w:rsidRDefault="00F605B4" w:rsidP="00A668E1">
      <w:pPr>
        <w:pStyle w:val="Heading3"/>
        <w:divId w:val="448665177"/>
      </w:pPr>
      <w:r w:rsidRPr="0087487B">
        <w:t xml:space="preserve">Pregnancy </w:t>
      </w:r>
    </w:p>
    <w:p w14:paraId="6E1BF797" w14:textId="77777777" w:rsidR="00F605B4" w:rsidRPr="0087487B" w:rsidRDefault="00F605B4" w:rsidP="00A668E1">
      <w:pPr>
        <w:divId w:val="448665177"/>
      </w:pPr>
      <w:r w:rsidRPr="0087487B">
        <w:t xml:space="preserve">Overall, the risks from failure to treat the pregnant woman and foetus are significantly greater than risks from treating the MDR-TB disease. </w:t>
      </w:r>
    </w:p>
    <w:p w14:paraId="41F64847" w14:textId="77777777" w:rsidR="00F605B4" w:rsidRPr="0087487B" w:rsidRDefault="00F605B4" w:rsidP="00A668E1">
      <w:pPr>
        <w:divId w:val="448665177"/>
      </w:pPr>
      <w:r w:rsidRPr="0087487B">
        <w:t xml:space="preserve">The following are the </w:t>
      </w:r>
      <w:proofErr w:type="gramStart"/>
      <w:r w:rsidRPr="0087487B">
        <w:t>main areas</w:t>
      </w:r>
      <w:proofErr w:type="gramEnd"/>
      <w:r w:rsidRPr="0087487B">
        <w:t xml:space="preserve"> to consider when a pregnant woman is diagnosed with MDR-TB: </w:t>
      </w:r>
    </w:p>
    <w:p w14:paraId="203F9F57" w14:textId="77777777" w:rsidR="00F605B4" w:rsidRPr="0087487B" w:rsidRDefault="00F605B4" w:rsidP="00934C63">
      <w:pPr>
        <w:pStyle w:val="ListParagraph"/>
        <w:numPr>
          <w:ilvl w:val="0"/>
          <w:numId w:val="26"/>
        </w:numPr>
        <w:divId w:val="448665177"/>
        <w:rPr>
          <w:rFonts w:eastAsia="Times New Roman"/>
        </w:rPr>
      </w:pPr>
      <w:r w:rsidRPr="0087487B">
        <w:rPr>
          <w:rFonts w:eastAsia="Times New Roman"/>
        </w:rPr>
        <w:t xml:space="preserve">Most patients should be commenced on treatment </w:t>
      </w:r>
      <w:proofErr w:type="gramStart"/>
      <w:r w:rsidRPr="0087487B">
        <w:rPr>
          <w:rFonts w:eastAsia="Times New Roman"/>
        </w:rPr>
        <w:t>as soon as possible</w:t>
      </w:r>
      <w:proofErr w:type="gramEnd"/>
      <w:r w:rsidRPr="0087487B">
        <w:rPr>
          <w:rFonts w:eastAsia="Times New Roman"/>
        </w:rPr>
        <w:t xml:space="preserve"> </w:t>
      </w:r>
    </w:p>
    <w:p w14:paraId="43D09463" w14:textId="77777777" w:rsidR="00F605B4" w:rsidRPr="0087487B" w:rsidRDefault="00F605B4" w:rsidP="00934C63">
      <w:pPr>
        <w:pStyle w:val="ListParagraph"/>
        <w:numPr>
          <w:ilvl w:val="0"/>
          <w:numId w:val="26"/>
        </w:numPr>
        <w:divId w:val="448665177"/>
        <w:rPr>
          <w:rFonts w:eastAsia="Times New Roman"/>
        </w:rPr>
      </w:pPr>
      <w:r w:rsidRPr="0087487B">
        <w:rPr>
          <w:rFonts w:eastAsia="Times New Roman"/>
        </w:rPr>
        <w:t xml:space="preserve">If MDR-TB </w:t>
      </w:r>
      <w:proofErr w:type="gramStart"/>
      <w:r w:rsidRPr="0087487B">
        <w:rPr>
          <w:rFonts w:eastAsia="Times New Roman"/>
        </w:rPr>
        <w:t>is detected</w:t>
      </w:r>
      <w:proofErr w:type="gramEnd"/>
      <w:r w:rsidRPr="0087487B">
        <w:rPr>
          <w:rFonts w:eastAsia="Times New Roman"/>
        </w:rPr>
        <w:t xml:space="preserve"> in the first trimester and the woman is clinically satisfactory and has minimal disease, then deferring the start of treatment to the second trimester could be considered. However, such a strategy would require close clinical monitoring as TB can accelerate in pregnancy. </w:t>
      </w:r>
    </w:p>
    <w:p w14:paraId="33D97441" w14:textId="77777777" w:rsidR="00F605B4" w:rsidRPr="0087487B" w:rsidRDefault="00F605B4" w:rsidP="00934C63">
      <w:pPr>
        <w:pStyle w:val="ListParagraph"/>
        <w:numPr>
          <w:ilvl w:val="0"/>
          <w:numId w:val="26"/>
        </w:numPr>
        <w:divId w:val="448665177"/>
        <w:rPr>
          <w:rFonts w:eastAsia="Times New Roman"/>
        </w:rPr>
      </w:pPr>
      <w:r w:rsidRPr="0087487B">
        <w:rPr>
          <w:rFonts w:eastAsia="Times New Roman"/>
        </w:rPr>
        <w:t xml:space="preserve">In some cases, termination of pregnancy may need to </w:t>
      </w:r>
      <w:proofErr w:type="gramStart"/>
      <w:r w:rsidRPr="0087487B">
        <w:rPr>
          <w:rFonts w:eastAsia="Times New Roman"/>
        </w:rPr>
        <w:t>be considered</w:t>
      </w:r>
      <w:proofErr w:type="gramEnd"/>
      <w:r w:rsidRPr="0087487B">
        <w:rPr>
          <w:rFonts w:eastAsia="Times New Roman"/>
        </w:rPr>
        <w:t xml:space="preserve">. </w:t>
      </w:r>
    </w:p>
    <w:p w14:paraId="384DB6BC" w14:textId="77777777" w:rsidR="00F605B4" w:rsidRPr="0087487B" w:rsidRDefault="00F605B4" w:rsidP="00934C63">
      <w:pPr>
        <w:pStyle w:val="ListParagraph"/>
        <w:numPr>
          <w:ilvl w:val="0"/>
          <w:numId w:val="26"/>
        </w:numPr>
        <w:divId w:val="448665177"/>
        <w:rPr>
          <w:rFonts w:eastAsia="Times New Roman"/>
        </w:rPr>
      </w:pPr>
      <w:r w:rsidRPr="0087487B">
        <w:rPr>
          <w:rFonts w:eastAsia="Times New Roman"/>
        </w:rPr>
        <w:t xml:space="preserve">Amikacin and ethionamide should </w:t>
      </w:r>
      <w:proofErr w:type="gramStart"/>
      <w:r w:rsidRPr="0087487B">
        <w:rPr>
          <w:rFonts w:eastAsia="Times New Roman"/>
        </w:rPr>
        <w:t>be avoided</w:t>
      </w:r>
      <w:proofErr w:type="gramEnd"/>
      <w:r w:rsidRPr="0087487B">
        <w:rPr>
          <w:rFonts w:eastAsia="Times New Roman"/>
        </w:rPr>
        <w:t xml:space="preserve"> due to the potential for causing teratogenic effects. </w:t>
      </w:r>
    </w:p>
    <w:p w14:paraId="18680AF6" w14:textId="77777777" w:rsidR="00F605B4" w:rsidRPr="0087487B" w:rsidRDefault="00F605B4" w:rsidP="00934C63">
      <w:pPr>
        <w:pStyle w:val="ListParagraph"/>
        <w:numPr>
          <w:ilvl w:val="0"/>
          <w:numId w:val="26"/>
        </w:numPr>
        <w:divId w:val="448665177"/>
        <w:rPr>
          <w:rFonts w:eastAsia="Times New Roman"/>
        </w:rPr>
      </w:pPr>
      <w:r w:rsidRPr="0087487B">
        <w:rPr>
          <w:rFonts w:eastAsia="Times New Roman"/>
        </w:rPr>
        <w:t xml:space="preserve">Management should be shared between an MDR-TB expert and an obstetrician experienced in the care of </w:t>
      </w:r>
      <w:proofErr w:type="gramStart"/>
      <w:r w:rsidRPr="0087487B">
        <w:rPr>
          <w:rFonts w:eastAsia="Times New Roman"/>
        </w:rPr>
        <w:t>high risk</w:t>
      </w:r>
      <w:proofErr w:type="gramEnd"/>
      <w:r w:rsidRPr="0087487B">
        <w:rPr>
          <w:rFonts w:eastAsia="Times New Roman"/>
        </w:rPr>
        <w:t xml:space="preserve"> pregnancies. </w:t>
      </w:r>
    </w:p>
    <w:p w14:paraId="6A794FD7" w14:textId="77777777" w:rsidR="00F605B4" w:rsidRPr="0087487B" w:rsidRDefault="00F605B4" w:rsidP="00A668E1">
      <w:pPr>
        <w:divId w:val="448665177"/>
      </w:pPr>
      <w:r w:rsidRPr="0087487B">
        <w:t xml:space="preserve">The table set out in Appendix A.4 shows the Federal Drug Administration (FDA) safety categories for each of the MDR drugs. </w:t>
      </w:r>
    </w:p>
    <w:p w14:paraId="4AF8C817" w14:textId="77777777" w:rsidR="00F605B4" w:rsidRPr="0087487B" w:rsidRDefault="00F605B4" w:rsidP="00A668E1">
      <w:pPr>
        <w:pStyle w:val="Heading3"/>
        <w:divId w:val="448665177"/>
      </w:pPr>
      <w:r w:rsidRPr="0087487B">
        <w:t xml:space="preserve">Central nervous system TB </w:t>
      </w:r>
    </w:p>
    <w:p w14:paraId="45210427" w14:textId="77777777" w:rsidR="00F605B4" w:rsidRPr="0087487B" w:rsidRDefault="00F605B4" w:rsidP="00A668E1">
      <w:pPr>
        <w:divId w:val="448665177"/>
      </w:pPr>
      <w:r w:rsidRPr="0087487B">
        <w:lastRenderedPageBreak/>
        <w:t xml:space="preserve">The drug regimen used to treat CNS TB should be based on drug susceptibility and specific consideration to CSF drug penetration. Moxifloxacin, levofloxacin, linezolid, </w:t>
      </w:r>
      <w:proofErr w:type="spellStart"/>
      <w:r w:rsidRPr="0087487B">
        <w:t>cycloserine</w:t>
      </w:r>
      <w:proofErr w:type="spellEnd"/>
      <w:r w:rsidRPr="0087487B">
        <w:t xml:space="preserve">, pyrazinamide, meropenem and ethionamide have good penetration. Amikacin and streptomycin have adequate penetration in the presence of meningeal inflammation. Findings from a small number of studies suggest that </w:t>
      </w:r>
      <w:proofErr w:type="spellStart"/>
      <w:r w:rsidRPr="0087487B">
        <w:t>bedaquiline</w:t>
      </w:r>
      <w:proofErr w:type="spellEnd"/>
      <w:r w:rsidRPr="0087487B">
        <w:t xml:space="preserve"> and </w:t>
      </w:r>
      <w:proofErr w:type="spellStart"/>
      <w:r w:rsidRPr="0087487B">
        <w:t>delamanid</w:t>
      </w:r>
      <w:proofErr w:type="spellEnd"/>
      <w:r w:rsidRPr="0087487B">
        <w:t xml:space="preserve"> may achieve sufficient drug concentrations in brain tissue and CSF, but their use in the treatment of TB meningitis </w:t>
      </w:r>
      <w:proofErr w:type="gramStart"/>
      <w:r w:rsidRPr="0087487B">
        <w:t>remains</w:t>
      </w:r>
      <w:proofErr w:type="gramEnd"/>
      <w:r w:rsidRPr="0087487B">
        <w:t xml:space="preserve"> uncertain pending further studies. Ethambutol and PAS have poor penetration and there is insufficient data regarding clofazimine and </w:t>
      </w:r>
      <w:proofErr w:type="spellStart"/>
      <w:r w:rsidRPr="0087487B">
        <w:t>pretomanid</w:t>
      </w:r>
      <w:proofErr w:type="spellEnd"/>
      <w:r w:rsidRPr="0087487B">
        <w:t>. Corticosteroids should be considered for use in all cases.</w:t>
      </w:r>
      <w:r w:rsidRPr="0087487B">
        <w:rPr>
          <w:vertAlign w:val="superscript"/>
        </w:rPr>
        <w:t>27,32–</w:t>
      </w:r>
      <w:proofErr w:type="gramStart"/>
      <w:r w:rsidRPr="0087487B">
        <w:rPr>
          <w:vertAlign w:val="superscript"/>
        </w:rPr>
        <w:t>34</w:t>
      </w:r>
      <w:proofErr w:type="gramEnd"/>
      <w:r w:rsidRPr="0087487B">
        <w:rPr>
          <w:vertAlign w:val="superscript"/>
        </w:rPr>
        <w:t xml:space="preserve"> </w:t>
      </w:r>
    </w:p>
    <w:p w14:paraId="1EA9384B" w14:textId="77777777" w:rsidR="00F605B4" w:rsidRPr="0087487B" w:rsidRDefault="00F605B4" w:rsidP="00A668E1">
      <w:pPr>
        <w:divId w:val="448665177"/>
      </w:pPr>
      <w:r w:rsidRPr="0087487B">
        <w:t xml:space="preserve">More detailed information on the management of these special situations and others including in renal and liver disease can be found in the </w:t>
      </w:r>
      <w:r w:rsidRPr="0087487B">
        <w:rPr>
          <w:rStyle w:val="Emphasis"/>
          <w:b w:val="0"/>
          <w:bCs w:val="0"/>
        </w:rPr>
        <w:t>Companion Handbook to the WHO Guidelines for the Programmatic Management of Drug-resistant Tuberculosis</w:t>
      </w:r>
      <w:r w:rsidRPr="0087487B">
        <w:t>.</w:t>
      </w:r>
      <w:r w:rsidRPr="0087487B">
        <w:rPr>
          <w:vertAlign w:val="superscript"/>
        </w:rPr>
        <w:t>27</w:t>
      </w:r>
      <w:r w:rsidRPr="0087487B">
        <w:t xml:space="preserve"> Attached appendices (Appendix A.5, A.6) also contain tables showing drug options/risks with respect to the care of patients with severe liver or renal dysfunction.</w:t>
      </w:r>
    </w:p>
    <w:p w14:paraId="5CE14CD7" w14:textId="77777777" w:rsidR="00F605B4" w:rsidRPr="0087487B" w:rsidRDefault="00F605B4" w:rsidP="00A668E1">
      <w:pPr>
        <w:pStyle w:val="Heading1"/>
        <w:divId w:val="448665177"/>
      </w:pPr>
      <w:r w:rsidRPr="0087487B">
        <w:t xml:space="preserve">3. Isoniazid resistance </w:t>
      </w:r>
    </w:p>
    <w:p w14:paraId="4A4DCBC4" w14:textId="77777777" w:rsidR="00F605B4" w:rsidRPr="0087487B" w:rsidRDefault="00F605B4" w:rsidP="00A668E1">
      <w:pPr>
        <w:pStyle w:val="Heading2"/>
        <w:divId w:val="448665177"/>
      </w:pPr>
      <w:r w:rsidRPr="0087487B">
        <w:t xml:space="preserve">Isoniazid resistance (rifampicin susceptible) </w:t>
      </w:r>
    </w:p>
    <w:p w14:paraId="258EFB1E" w14:textId="77777777" w:rsidR="00F605B4" w:rsidRPr="0087487B" w:rsidRDefault="00F605B4" w:rsidP="00A668E1">
      <w:pPr>
        <w:divId w:val="448665177"/>
      </w:pPr>
      <w:r w:rsidRPr="0087487B">
        <w:t>There is concordance between WHO and ATS/CDC/ERS/IDSA recommendations on the treatment of TB cases with proven isoniazid resistance but rifampicin susceptible.</w:t>
      </w:r>
      <w:r w:rsidRPr="0087487B">
        <w:rPr>
          <w:vertAlign w:val="superscript"/>
        </w:rPr>
        <w:t>1,5</w:t>
      </w:r>
      <w:r w:rsidRPr="0087487B">
        <w:t xml:space="preserve"> The only difference is the recommendation in the ATS/CDC/ERS/IDSA guidance that in the more paucibacillary cases particularly those with an increased risk of hepato-toxicity, pyrazinamide could be discontinued after two months.</w:t>
      </w:r>
      <w:r w:rsidRPr="0087487B">
        <w:rPr>
          <w:vertAlign w:val="superscript"/>
        </w:rPr>
        <w:t>5</w:t>
      </w:r>
      <w:r w:rsidRPr="0087487B">
        <w:t xml:space="preserve"> The main question to address is the choice of fluoroquinolone with most preferring levofloxacin because of concern over sub-optimal moxifloxacin blood levels due to its interaction with rifampicin. Levofloxacin also may have less effect on the Q-T interval. If a fluoroquinolone cannot be used, the previously recommended combination of rifampicin, </w:t>
      </w:r>
      <w:proofErr w:type="gramStart"/>
      <w:r w:rsidRPr="0087487B">
        <w:t>ethambutol</w:t>
      </w:r>
      <w:proofErr w:type="gramEnd"/>
      <w:r w:rsidRPr="0087487B">
        <w:t xml:space="preserve"> and pyrazinamide (with or without high dose isoniazid) for 6–9 months is still considered acceptable particularly in less severe disease.</w:t>
      </w:r>
      <w:r w:rsidRPr="0087487B">
        <w:rPr>
          <w:vertAlign w:val="superscript"/>
        </w:rPr>
        <w:t xml:space="preserve">3 </w:t>
      </w:r>
    </w:p>
    <w:p w14:paraId="79446A5D" w14:textId="77777777" w:rsidR="00F605B4" w:rsidRPr="0087487B" w:rsidRDefault="00F605B4" w:rsidP="00A668E1">
      <w:pPr>
        <w:pStyle w:val="Heading3"/>
        <w:divId w:val="448665177"/>
      </w:pPr>
      <w:r w:rsidRPr="0087487B">
        <w:t xml:space="preserve">Recommendation </w:t>
      </w:r>
    </w:p>
    <w:p w14:paraId="15228F6B" w14:textId="5BAAD868" w:rsidR="00686C81" w:rsidRPr="0087487B" w:rsidRDefault="00E02D5C" w:rsidP="00686C81">
      <w:pPr>
        <w:divId w:val="448665177"/>
      </w:pPr>
      <w:r w:rsidRPr="0087487B">
        <w:rPr>
          <w:noProof/>
        </w:rPr>
        <mc:AlternateContent>
          <mc:Choice Requires="wps">
            <w:drawing>
              <wp:inline distT="0" distB="0" distL="0" distR="0" wp14:anchorId="443CF0C3" wp14:editId="74854539">
                <wp:extent cx="6629400" cy="1404620"/>
                <wp:effectExtent l="0" t="0" r="0" b="889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7ECDD"/>
                        </a:solidFill>
                        <a:ln w="9525">
                          <a:noFill/>
                          <a:miter lim="800000"/>
                          <a:headEnd/>
                          <a:tailEnd/>
                        </a:ln>
                      </wps:spPr>
                      <wps:txbx>
                        <w:txbxContent>
                          <w:p w14:paraId="6E644AA3" w14:textId="77777777" w:rsidR="00204889" w:rsidRPr="00B54BFF" w:rsidRDefault="00204889" w:rsidP="00204889">
                            <w:r w:rsidRPr="00B54BFF">
                              <w:t xml:space="preserve">In those with proven isoniazid mono-resistant TB, a combination of rifampicin, ethambutol, pyrazinamide and levofloxacin or moxifloxacin (levofloxacin preferred) </w:t>
                            </w:r>
                            <w:proofErr w:type="gramStart"/>
                            <w:r w:rsidRPr="00B54BFF">
                              <w:t>is recommended</w:t>
                            </w:r>
                            <w:proofErr w:type="gramEnd"/>
                            <w:r w:rsidRPr="00B54BFF">
                              <w:t xml:space="preserve"> for 6 months. </w:t>
                            </w:r>
                          </w:p>
                          <w:p w14:paraId="18904D2C" w14:textId="77777777" w:rsidR="00204889" w:rsidRPr="00A668E1" w:rsidRDefault="00204889" w:rsidP="00204889">
                            <w:pPr>
                              <w:pStyle w:val="ListParagraph"/>
                              <w:numPr>
                                <w:ilvl w:val="0"/>
                                <w:numId w:val="26"/>
                              </w:numPr>
                              <w:rPr>
                                <w:rFonts w:eastAsia="Times New Roman"/>
                              </w:rPr>
                            </w:pPr>
                            <w:r w:rsidRPr="00A668E1">
                              <w:rPr>
                                <w:rFonts w:eastAsia="Times New Roman"/>
                              </w:rPr>
                              <w:t xml:space="preserve">If disease is severe, nine months is </w:t>
                            </w:r>
                            <w:proofErr w:type="gramStart"/>
                            <w:r w:rsidRPr="00A668E1">
                              <w:rPr>
                                <w:rFonts w:eastAsia="Times New Roman"/>
                              </w:rPr>
                              <w:t>advised</w:t>
                            </w:r>
                            <w:proofErr w:type="gramEnd"/>
                            <w:r w:rsidRPr="00A668E1">
                              <w:rPr>
                                <w:rFonts w:eastAsia="Times New Roman"/>
                              </w:rPr>
                              <w:t xml:space="preserve">. </w:t>
                            </w:r>
                          </w:p>
                          <w:p w14:paraId="72ED517F" w14:textId="77777777" w:rsidR="00204889" w:rsidRPr="00A668E1" w:rsidRDefault="00204889" w:rsidP="00204889">
                            <w:pPr>
                              <w:pStyle w:val="ListParagraph"/>
                              <w:numPr>
                                <w:ilvl w:val="0"/>
                                <w:numId w:val="26"/>
                              </w:numPr>
                              <w:rPr>
                                <w:rFonts w:eastAsia="Times New Roman"/>
                              </w:rPr>
                            </w:pPr>
                            <w:r w:rsidRPr="00A668E1">
                              <w:rPr>
                                <w:rFonts w:eastAsia="Times New Roman"/>
                              </w:rPr>
                              <w:t xml:space="preserve">If isoniazid resistance is low level, high dose isoniazid could </w:t>
                            </w:r>
                            <w:proofErr w:type="gramStart"/>
                            <w:r w:rsidRPr="00A668E1">
                              <w:rPr>
                                <w:rFonts w:eastAsia="Times New Roman"/>
                              </w:rPr>
                              <w:t>be considered</w:t>
                            </w:r>
                            <w:proofErr w:type="gramEnd"/>
                            <w:r w:rsidRPr="00A668E1">
                              <w:rPr>
                                <w:rFonts w:eastAsia="Times New Roman"/>
                              </w:rPr>
                              <w:t xml:space="preserve"> for inclusion. </w:t>
                            </w:r>
                          </w:p>
                          <w:p w14:paraId="17732438" w14:textId="55B593C8" w:rsidR="00E02D5C" w:rsidRPr="00204889" w:rsidRDefault="00204889" w:rsidP="00204889">
                            <w:pPr>
                              <w:pStyle w:val="ListParagraph"/>
                              <w:numPr>
                                <w:ilvl w:val="0"/>
                                <w:numId w:val="26"/>
                              </w:numPr>
                              <w:rPr>
                                <w:rFonts w:eastAsia="Times New Roman"/>
                              </w:rPr>
                            </w:pPr>
                            <w:r w:rsidRPr="00A668E1">
                              <w:rPr>
                                <w:rFonts w:eastAsia="Times New Roman"/>
                              </w:rPr>
                              <w:t xml:space="preserve">If disease is non-severe, </w:t>
                            </w:r>
                            <w:proofErr w:type="gramStart"/>
                            <w:r w:rsidRPr="00A668E1">
                              <w:rPr>
                                <w:rFonts w:eastAsia="Times New Roman"/>
                              </w:rPr>
                              <w:t>discontinuing</w:t>
                            </w:r>
                            <w:proofErr w:type="gramEnd"/>
                            <w:r w:rsidRPr="00A668E1">
                              <w:rPr>
                                <w:rFonts w:eastAsia="Times New Roman"/>
                              </w:rPr>
                              <w:t xml:space="preserve"> pyrazinamide at two months could be considered particularly in those with increased hepato-toxicity risk.</w:t>
                            </w:r>
                            <w:r w:rsidRPr="00A668E1">
                              <w:rPr>
                                <w:rFonts w:eastAsia="Times New Roman"/>
                                <w:vertAlign w:val="superscript"/>
                              </w:rPr>
                              <w:t>5</w:t>
                            </w:r>
                            <w:r w:rsidRPr="00A668E1">
                              <w:rPr>
                                <w:rFonts w:eastAsia="Times New Roman"/>
                              </w:rPr>
                              <w:t xml:space="preserve"> </w:t>
                            </w:r>
                          </w:p>
                        </w:txbxContent>
                      </wps:txbx>
                      <wps:bodyPr rot="0" vert="horz" wrap="square" lIns="91440" tIns="45720" rIns="91440" bIns="45720" anchor="t" anchorCtr="0">
                        <a:spAutoFit/>
                      </wps:bodyPr>
                    </wps:wsp>
                  </a:graphicData>
                </a:graphic>
              </wp:inline>
            </w:drawing>
          </mc:Choice>
          <mc:Fallback>
            <w:pict>
              <v:shape w14:anchorId="443CF0C3" id="_x0000_s1031"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" fillcolor="#f7ecdd" stroked="f">
                <v:textbox style="mso-fit-shape-to-text:t">
                  <w:txbxContent>
                    <w:p w14:paraId="6E644AA3" w14:textId="77777777" w:rsidR="00204889" w:rsidRPr="00B54BFF" w:rsidRDefault="00204889" w:rsidP="00204889">
                      <w:r w:rsidRPr="00B54BFF">
                        <w:t xml:space="preserve">In those with proven isoniazid mono-resistant TB, a combination of rifampicin, ethambutol, pyrazinamide and levofloxacin or moxifloxacin (levofloxacin preferred) </w:t>
                      </w:r>
                      <w:proofErr w:type="gramStart"/>
                      <w:r w:rsidRPr="00B54BFF">
                        <w:t>is recommended</w:t>
                      </w:r>
                      <w:proofErr w:type="gramEnd"/>
                      <w:r w:rsidRPr="00B54BFF">
                        <w:t xml:space="preserve"> for 6 months. </w:t>
                      </w:r>
                    </w:p>
                    <w:p w14:paraId="18904D2C" w14:textId="77777777" w:rsidR="00204889" w:rsidRPr="00A668E1" w:rsidRDefault="00204889" w:rsidP="00204889">
                      <w:pPr>
                        <w:pStyle w:val="ListParagraph"/>
                        <w:numPr>
                          <w:ilvl w:val="0"/>
                          <w:numId w:val="26"/>
                        </w:numPr>
                        <w:rPr>
                          <w:rFonts w:eastAsia="Times New Roman"/>
                        </w:rPr>
                      </w:pPr>
                      <w:r w:rsidRPr="00A668E1">
                        <w:rPr>
                          <w:rFonts w:eastAsia="Times New Roman"/>
                        </w:rPr>
                        <w:t xml:space="preserve">If disease is severe, nine months is </w:t>
                      </w:r>
                      <w:proofErr w:type="gramStart"/>
                      <w:r w:rsidRPr="00A668E1">
                        <w:rPr>
                          <w:rFonts w:eastAsia="Times New Roman"/>
                        </w:rPr>
                        <w:t>advised</w:t>
                      </w:r>
                      <w:proofErr w:type="gramEnd"/>
                      <w:r w:rsidRPr="00A668E1">
                        <w:rPr>
                          <w:rFonts w:eastAsia="Times New Roman"/>
                        </w:rPr>
                        <w:t xml:space="preserve">. </w:t>
                      </w:r>
                    </w:p>
                    <w:p w14:paraId="72ED517F" w14:textId="77777777" w:rsidR="00204889" w:rsidRPr="00A668E1" w:rsidRDefault="00204889" w:rsidP="00204889">
                      <w:pPr>
                        <w:pStyle w:val="ListParagraph"/>
                        <w:numPr>
                          <w:ilvl w:val="0"/>
                          <w:numId w:val="26"/>
                        </w:numPr>
                        <w:rPr>
                          <w:rFonts w:eastAsia="Times New Roman"/>
                        </w:rPr>
                      </w:pPr>
                      <w:r w:rsidRPr="00A668E1">
                        <w:rPr>
                          <w:rFonts w:eastAsia="Times New Roman"/>
                        </w:rPr>
                        <w:t xml:space="preserve">If isoniazid resistance is low level, high dose isoniazid could </w:t>
                      </w:r>
                      <w:proofErr w:type="gramStart"/>
                      <w:r w:rsidRPr="00A668E1">
                        <w:rPr>
                          <w:rFonts w:eastAsia="Times New Roman"/>
                        </w:rPr>
                        <w:t>be considered</w:t>
                      </w:r>
                      <w:proofErr w:type="gramEnd"/>
                      <w:r w:rsidRPr="00A668E1">
                        <w:rPr>
                          <w:rFonts w:eastAsia="Times New Roman"/>
                        </w:rPr>
                        <w:t xml:space="preserve"> for inclusion. </w:t>
                      </w:r>
                    </w:p>
                    <w:p w14:paraId="17732438" w14:textId="55B593C8" w:rsidR="00E02D5C" w:rsidRPr="00204889" w:rsidRDefault="00204889" w:rsidP="00204889">
                      <w:pPr>
                        <w:pStyle w:val="ListParagraph"/>
                        <w:numPr>
                          <w:ilvl w:val="0"/>
                          <w:numId w:val="26"/>
                        </w:numPr>
                        <w:rPr>
                          <w:rFonts w:eastAsia="Times New Roman"/>
                        </w:rPr>
                      </w:pPr>
                      <w:r w:rsidRPr="00A668E1">
                        <w:rPr>
                          <w:rFonts w:eastAsia="Times New Roman"/>
                        </w:rPr>
                        <w:t xml:space="preserve">If disease is non-severe, </w:t>
                      </w:r>
                      <w:proofErr w:type="gramStart"/>
                      <w:r w:rsidRPr="00A668E1">
                        <w:rPr>
                          <w:rFonts w:eastAsia="Times New Roman"/>
                        </w:rPr>
                        <w:t>discontinuing</w:t>
                      </w:r>
                      <w:proofErr w:type="gramEnd"/>
                      <w:r w:rsidRPr="00A668E1">
                        <w:rPr>
                          <w:rFonts w:eastAsia="Times New Roman"/>
                        </w:rPr>
                        <w:t xml:space="preserve"> pyrazinamide at two months could be considered particularly in those with increased hepato-toxicity risk.</w:t>
                      </w:r>
                      <w:r w:rsidRPr="00A668E1">
                        <w:rPr>
                          <w:rFonts w:eastAsia="Times New Roman"/>
                          <w:vertAlign w:val="superscript"/>
                        </w:rPr>
                        <w:t>5</w:t>
                      </w:r>
                      <w:r w:rsidRPr="00A668E1">
                        <w:rPr>
                          <w:rFonts w:eastAsia="Times New Roman"/>
                        </w:rPr>
                        <w:t xml:space="preserve"> </w:t>
                      </w:r>
                    </w:p>
                  </w:txbxContent>
                </v:textbox>
                <w10:anchorlock/>
              </v:shape>
            </w:pict>
          </mc:Fallback>
        </mc:AlternateContent>
      </w:r>
    </w:p>
    <w:p w14:paraId="5EF49822" w14:textId="77777777" w:rsidR="00F605B4" w:rsidRPr="0087487B" w:rsidRDefault="00F605B4" w:rsidP="00A668E1">
      <w:pPr>
        <w:pStyle w:val="Heading2"/>
        <w:divId w:val="448665177"/>
      </w:pPr>
      <w:r w:rsidRPr="0087487B">
        <w:t xml:space="preserve">Isoniazid poly-resistance </w:t>
      </w:r>
    </w:p>
    <w:p w14:paraId="687D2BD6" w14:textId="77777777" w:rsidR="00F605B4" w:rsidRPr="0087487B" w:rsidRDefault="00F605B4" w:rsidP="00A668E1">
      <w:pPr>
        <w:divId w:val="448665177"/>
      </w:pPr>
      <w:r w:rsidRPr="0087487B">
        <w:t xml:space="preserve">There is limited information on the treatment of isoniazid with </w:t>
      </w:r>
      <w:proofErr w:type="gramStart"/>
      <w:r w:rsidRPr="0087487B">
        <w:t>additional</w:t>
      </w:r>
      <w:proofErr w:type="gramEnd"/>
      <w:r w:rsidRPr="0087487B">
        <w:t xml:space="preserve"> resistance to other first line agents. The regimens set out in table 7 are those suggested in the WHO MDR-TB companion and Curry handbooks and, apart from the recommendation for isoniazid mono-resistance, are based on expert consensus opinion.</w:t>
      </w:r>
      <w:r w:rsidRPr="0087487B">
        <w:rPr>
          <w:vertAlign w:val="superscript"/>
        </w:rPr>
        <w:t>27,28</w:t>
      </w:r>
      <w:r w:rsidRPr="0087487B">
        <w:t xml:space="preserve"> Moxifloxacin or levofloxacin can </w:t>
      </w:r>
      <w:proofErr w:type="gramStart"/>
      <w:r w:rsidRPr="0087487B">
        <w:t>be used</w:t>
      </w:r>
      <w:proofErr w:type="gramEnd"/>
      <w:r w:rsidRPr="0087487B">
        <w:t xml:space="preserve">, but the latter is the preferred fluoroquinolone. The </w:t>
      </w:r>
      <w:proofErr w:type="spellStart"/>
      <w:r w:rsidRPr="0087487B">
        <w:t>BPaLM</w:t>
      </w:r>
      <w:proofErr w:type="spellEnd"/>
      <w:r w:rsidRPr="0087487B">
        <w:t xml:space="preserve"> regimen now </w:t>
      </w:r>
      <w:proofErr w:type="gramStart"/>
      <w:r w:rsidRPr="0087487B">
        <w:t>provides</w:t>
      </w:r>
      <w:proofErr w:type="gramEnd"/>
      <w:r w:rsidRPr="0087487B">
        <w:t xml:space="preserve"> an additional option to consider. </w:t>
      </w:r>
    </w:p>
    <w:p w14:paraId="5211A2ED" w14:textId="77777777" w:rsidR="005E3E11" w:rsidRPr="0087487B" w:rsidRDefault="005E3E11">
      <w:pPr>
        <w:rPr>
          <w:rStyle w:val="Strong"/>
          <w:bCs w:val="0"/>
        </w:rPr>
      </w:pPr>
      <w:r w:rsidRPr="0087487B">
        <w:rPr>
          <w:rStyle w:val="Strong"/>
          <w:b w:val="0"/>
          <w:bCs w:val="0"/>
        </w:rPr>
        <w:br w:type="page"/>
      </w:r>
    </w:p>
    <w:p w14:paraId="6219B7BE" w14:textId="60E87D09" w:rsidR="005E3E11" w:rsidRPr="0087487B" w:rsidRDefault="005E3E11" w:rsidP="005E3E11">
      <w:pPr>
        <w:pStyle w:val="CDIFigures"/>
        <w:divId w:val="448665177"/>
      </w:pPr>
      <w:bookmarkStart w:id="5" w:name="_Hlk147995734"/>
      <w:r w:rsidRPr="0087487B">
        <w:rPr>
          <w:rStyle w:val="Strong"/>
          <w:b/>
          <w:bCs w:val="0"/>
        </w:rPr>
        <w:lastRenderedPageBreak/>
        <w:t xml:space="preserve">Table 7: Treatment regimens for isoniazid mono- and poly-resistant TB </w:t>
      </w:r>
      <w:bookmarkEnd w:id="5"/>
    </w:p>
    <w:tbl>
      <w:tblPr>
        <w:tblStyle w:val="CDI-StandardTable"/>
        <w:tblW w:w="0" w:type="auto"/>
        <w:tblCellMar>
          <w:top w:w="113" w:type="dxa"/>
          <w:bottom w:w="113" w:type="dxa"/>
        </w:tblCellMar>
        <w:tblLook w:val="04A0" w:firstRow="1" w:lastRow="0" w:firstColumn="1" w:lastColumn="0" w:noHBand="0" w:noVBand="1"/>
        <w:tblDescription w:val="A table summarising recommendations for the composition and duration of treatment regimens for isoniazid-resistant TB, for mono-resistance and with modifications where resistance to ethambutol and/or pyrazinamide is also indicated."/>
      </w:tblPr>
      <w:tblGrid>
        <w:gridCol w:w="3480"/>
        <w:gridCol w:w="3480"/>
        <w:gridCol w:w="3480"/>
      </w:tblGrid>
      <w:tr w:rsidR="005E3E11" w:rsidRPr="0087487B" w14:paraId="0B553F9D" w14:textId="77777777" w:rsidTr="005E3E11">
        <w:trPr>
          <w:cnfStyle w:val="100000000000" w:firstRow="1" w:lastRow="0" w:firstColumn="0" w:lastColumn="0" w:oddVBand="0" w:evenVBand="0" w:oddHBand="0" w:evenHBand="0" w:firstRowFirstColumn="0" w:firstRowLastColumn="0" w:lastRowFirstColumn="0" w:lastRowLastColumn="0"/>
          <w:divId w:val="448665177"/>
        </w:trPr>
        <w:tc>
          <w:tcPr>
            <w:tcW w:w="3480" w:type="dxa"/>
            <w:hideMark/>
          </w:tcPr>
          <w:p w14:paraId="0FAAD057" w14:textId="77777777" w:rsidR="005E3E11" w:rsidRPr="0087487B" w:rsidRDefault="005E3E11" w:rsidP="00314B37">
            <w:pPr>
              <w:pStyle w:val="NormalWeb"/>
              <w:jc w:val="left"/>
              <w:rPr>
                <w:sz w:val="18"/>
                <w:szCs w:val="18"/>
              </w:rPr>
            </w:pPr>
            <w:r w:rsidRPr="0087487B">
              <w:rPr>
                <w:sz w:val="18"/>
                <w:szCs w:val="18"/>
              </w:rPr>
              <w:t xml:space="preserve">Drug resistance </w:t>
            </w:r>
            <w:proofErr w:type="spellStart"/>
            <w:r w:rsidRPr="0087487B">
              <w:rPr>
                <w:sz w:val="18"/>
                <w:szCs w:val="18"/>
              </w:rPr>
              <w:t>pattern</w:t>
            </w:r>
            <w:r w:rsidRPr="0087487B">
              <w:rPr>
                <w:sz w:val="18"/>
                <w:szCs w:val="18"/>
                <w:vertAlign w:val="superscript"/>
              </w:rPr>
              <w:t>a</w:t>
            </w:r>
            <w:proofErr w:type="spellEnd"/>
          </w:p>
        </w:tc>
        <w:tc>
          <w:tcPr>
            <w:tcW w:w="3480" w:type="dxa"/>
            <w:hideMark/>
          </w:tcPr>
          <w:p w14:paraId="270744B1" w14:textId="77777777" w:rsidR="005E3E11" w:rsidRPr="0087487B" w:rsidRDefault="005E3E11" w:rsidP="00314B37">
            <w:pPr>
              <w:pStyle w:val="NormalWeb"/>
              <w:jc w:val="left"/>
              <w:rPr>
                <w:sz w:val="18"/>
                <w:szCs w:val="18"/>
              </w:rPr>
            </w:pPr>
            <w:r w:rsidRPr="0087487B">
              <w:rPr>
                <w:sz w:val="18"/>
                <w:szCs w:val="18"/>
              </w:rPr>
              <w:t>Proposed regimen(s)</w:t>
            </w:r>
            <w:proofErr w:type="spellStart"/>
            <w:proofErr w:type="gramStart"/>
            <w:r w:rsidRPr="0087487B">
              <w:rPr>
                <w:sz w:val="18"/>
                <w:szCs w:val="18"/>
                <w:vertAlign w:val="superscript"/>
              </w:rPr>
              <w:t>a,b</w:t>
            </w:r>
            <w:proofErr w:type="spellEnd"/>
            <w:proofErr w:type="gramEnd"/>
          </w:p>
        </w:tc>
        <w:tc>
          <w:tcPr>
            <w:tcW w:w="3480" w:type="dxa"/>
            <w:hideMark/>
          </w:tcPr>
          <w:p w14:paraId="5CE2FEC9" w14:textId="77777777" w:rsidR="005E3E11" w:rsidRPr="0087487B" w:rsidRDefault="005E3E11" w:rsidP="00314B37">
            <w:pPr>
              <w:pStyle w:val="NormalWeb"/>
              <w:jc w:val="left"/>
              <w:rPr>
                <w:sz w:val="18"/>
                <w:szCs w:val="18"/>
              </w:rPr>
            </w:pPr>
            <w:r w:rsidRPr="0087487B">
              <w:rPr>
                <w:sz w:val="18"/>
                <w:szCs w:val="18"/>
              </w:rPr>
              <w:t>Duration of treatment</w:t>
            </w:r>
          </w:p>
        </w:tc>
      </w:tr>
      <w:tr w:rsidR="005E3E11" w:rsidRPr="0087487B" w14:paraId="58FF8DFF" w14:textId="77777777" w:rsidTr="005E3E11">
        <w:trPr>
          <w:divId w:val="448665177"/>
        </w:trPr>
        <w:tc>
          <w:tcPr>
            <w:tcW w:w="3480" w:type="dxa"/>
            <w:hideMark/>
          </w:tcPr>
          <w:p w14:paraId="60760E4C" w14:textId="77777777" w:rsidR="005E3E11" w:rsidRPr="0087487B" w:rsidRDefault="005E3E11" w:rsidP="00314B37">
            <w:pPr>
              <w:pStyle w:val="NormalWeb"/>
              <w:jc w:val="left"/>
              <w:rPr>
                <w:sz w:val="18"/>
                <w:szCs w:val="18"/>
              </w:rPr>
            </w:pPr>
            <w:r w:rsidRPr="0087487B">
              <w:rPr>
                <w:sz w:val="18"/>
                <w:szCs w:val="18"/>
              </w:rPr>
              <w:t>H</w:t>
            </w:r>
          </w:p>
        </w:tc>
        <w:tc>
          <w:tcPr>
            <w:tcW w:w="3480" w:type="dxa"/>
            <w:hideMark/>
          </w:tcPr>
          <w:p w14:paraId="2C0F7684" w14:textId="77777777" w:rsidR="005E3E11" w:rsidRPr="0087487B" w:rsidRDefault="005E3E11" w:rsidP="00314B37">
            <w:pPr>
              <w:pStyle w:val="NormalWeb"/>
              <w:jc w:val="left"/>
              <w:rPr>
                <w:sz w:val="18"/>
                <w:szCs w:val="18"/>
              </w:rPr>
            </w:pPr>
            <w:r w:rsidRPr="0087487B">
              <w:rPr>
                <w:sz w:val="18"/>
                <w:szCs w:val="18"/>
              </w:rPr>
              <w:t xml:space="preserve">R E Z </w:t>
            </w:r>
            <w:proofErr w:type="spellStart"/>
            <w:r w:rsidRPr="0087487B">
              <w:rPr>
                <w:sz w:val="18"/>
                <w:szCs w:val="18"/>
              </w:rPr>
              <w:t>Lfx</w:t>
            </w:r>
            <w:proofErr w:type="spellEnd"/>
            <w:r w:rsidRPr="0087487B">
              <w:rPr>
                <w:sz w:val="18"/>
                <w:szCs w:val="18"/>
              </w:rPr>
              <w:t xml:space="preserve"> (or </w:t>
            </w:r>
            <w:proofErr w:type="spellStart"/>
            <w:r w:rsidRPr="0087487B">
              <w:rPr>
                <w:sz w:val="18"/>
                <w:szCs w:val="18"/>
              </w:rPr>
              <w:t>Mfx</w:t>
            </w:r>
            <w:proofErr w:type="spellEnd"/>
            <w:r w:rsidRPr="0087487B">
              <w:rPr>
                <w:sz w:val="18"/>
                <w:szCs w:val="18"/>
              </w:rPr>
              <w:t>)</w:t>
            </w:r>
          </w:p>
        </w:tc>
        <w:tc>
          <w:tcPr>
            <w:tcW w:w="3480" w:type="dxa"/>
            <w:hideMark/>
          </w:tcPr>
          <w:p w14:paraId="684277EC" w14:textId="77777777" w:rsidR="005E3E11" w:rsidRPr="0087487B" w:rsidRDefault="005E3E11" w:rsidP="00314B37">
            <w:pPr>
              <w:pStyle w:val="NormalWeb"/>
              <w:jc w:val="left"/>
              <w:rPr>
                <w:sz w:val="18"/>
                <w:szCs w:val="18"/>
              </w:rPr>
            </w:pPr>
            <w:r w:rsidRPr="0087487B">
              <w:rPr>
                <w:sz w:val="18"/>
                <w:szCs w:val="18"/>
              </w:rPr>
              <w:t>6–9 months</w:t>
            </w:r>
          </w:p>
        </w:tc>
      </w:tr>
      <w:tr w:rsidR="005E3E11" w:rsidRPr="0087487B" w14:paraId="6DCDE6C2" w14:textId="77777777" w:rsidTr="005E3E11">
        <w:trPr>
          <w:cnfStyle w:val="000000010000" w:firstRow="0" w:lastRow="0" w:firstColumn="0" w:lastColumn="0" w:oddVBand="0" w:evenVBand="0" w:oddHBand="0" w:evenHBand="1" w:firstRowFirstColumn="0" w:firstRowLastColumn="0" w:lastRowFirstColumn="0" w:lastRowLastColumn="0"/>
          <w:divId w:val="448665177"/>
        </w:trPr>
        <w:tc>
          <w:tcPr>
            <w:tcW w:w="3480" w:type="dxa"/>
            <w:hideMark/>
          </w:tcPr>
          <w:p w14:paraId="5EF753BD" w14:textId="77777777" w:rsidR="005E3E11" w:rsidRPr="0087487B" w:rsidRDefault="005E3E11" w:rsidP="00314B37">
            <w:pPr>
              <w:pStyle w:val="NormalWeb"/>
              <w:jc w:val="left"/>
              <w:rPr>
                <w:sz w:val="18"/>
                <w:szCs w:val="18"/>
              </w:rPr>
            </w:pPr>
            <w:r w:rsidRPr="0087487B">
              <w:rPr>
                <w:sz w:val="18"/>
                <w:szCs w:val="18"/>
              </w:rPr>
              <w:t>H + E</w:t>
            </w:r>
          </w:p>
        </w:tc>
        <w:tc>
          <w:tcPr>
            <w:tcW w:w="3480" w:type="dxa"/>
            <w:hideMark/>
          </w:tcPr>
          <w:p w14:paraId="51546D46" w14:textId="77777777" w:rsidR="005E3E11" w:rsidRPr="0087487B" w:rsidRDefault="005E3E11" w:rsidP="00314B37">
            <w:pPr>
              <w:pStyle w:val="NormalWeb"/>
              <w:jc w:val="left"/>
              <w:rPr>
                <w:sz w:val="18"/>
                <w:szCs w:val="18"/>
              </w:rPr>
            </w:pPr>
            <w:r w:rsidRPr="0087487B">
              <w:rPr>
                <w:sz w:val="18"/>
                <w:szCs w:val="18"/>
              </w:rPr>
              <w:t xml:space="preserve">R Z </w:t>
            </w:r>
            <w:proofErr w:type="spellStart"/>
            <w:r w:rsidRPr="0087487B">
              <w:rPr>
                <w:sz w:val="18"/>
                <w:szCs w:val="18"/>
              </w:rPr>
              <w:t>Lfx</w:t>
            </w:r>
            <w:proofErr w:type="spellEnd"/>
            <w:r w:rsidRPr="0087487B">
              <w:rPr>
                <w:sz w:val="18"/>
                <w:szCs w:val="18"/>
              </w:rPr>
              <w:t xml:space="preserve"> (or </w:t>
            </w:r>
            <w:proofErr w:type="spellStart"/>
            <w:r w:rsidRPr="0087487B">
              <w:rPr>
                <w:sz w:val="18"/>
                <w:szCs w:val="18"/>
              </w:rPr>
              <w:t>Mfx</w:t>
            </w:r>
            <w:proofErr w:type="spellEnd"/>
            <w:r w:rsidRPr="0087487B">
              <w:rPr>
                <w:sz w:val="18"/>
                <w:szCs w:val="18"/>
              </w:rPr>
              <w:t>)</w:t>
            </w:r>
          </w:p>
        </w:tc>
        <w:tc>
          <w:tcPr>
            <w:tcW w:w="3480" w:type="dxa"/>
            <w:hideMark/>
          </w:tcPr>
          <w:p w14:paraId="2EF0FAAF" w14:textId="77777777" w:rsidR="005E3E11" w:rsidRPr="0087487B" w:rsidRDefault="005E3E11" w:rsidP="00314B37">
            <w:pPr>
              <w:pStyle w:val="NormalWeb"/>
              <w:jc w:val="left"/>
              <w:rPr>
                <w:sz w:val="18"/>
                <w:szCs w:val="18"/>
              </w:rPr>
            </w:pPr>
            <w:r w:rsidRPr="0087487B">
              <w:rPr>
                <w:sz w:val="18"/>
                <w:szCs w:val="18"/>
              </w:rPr>
              <w:t>6–9 months</w:t>
            </w:r>
          </w:p>
        </w:tc>
      </w:tr>
      <w:tr w:rsidR="005E3E11" w:rsidRPr="0087487B" w14:paraId="664964E0" w14:textId="77777777" w:rsidTr="005E3E11">
        <w:trPr>
          <w:divId w:val="448665177"/>
        </w:trPr>
        <w:tc>
          <w:tcPr>
            <w:tcW w:w="3480" w:type="dxa"/>
            <w:hideMark/>
          </w:tcPr>
          <w:p w14:paraId="0F1AA2DB" w14:textId="77777777" w:rsidR="005E3E11" w:rsidRPr="0087487B" w:rsidRDefault="005E3E11" w:rsidP="00314B37">
            <w:pPr>
              <w:pStyle w:val="NormalWeb"/>
              <w:jc w:val="left"/>
              <w:rPr>
                <w:sz w:val="18"/>
                <w:szCs w:val="18"/>
              </w:rPr>
            </w:pPr>
            <w:r w:rsidRPr="0087487B">
              <w:rPr>
                <w:sz w:val="18"/>
                <w:szCs w:val="18"/>
              </w:rPr>
              <w:t>H + Z</w:t>
            </w:r>
          </w:p>
        </w:tc>
        <w:tc>
          <w:tcPr>
            <w:tcW w:w="3480" w:type="dxa"/>
            <w:hideMark/>
          </w:tcPr>
          <w:p w14:paraId="0BE66123" w14:textId="77777777" w:rsidR="005E3E11" w:rsidRPr="0087487B" w:rsidRDefault="005E3E11" w:rsidP="00314B37">
            <w:pPr>
              <w:pStyle w:val="NormalWeb"/>
              <w:jc w:val="left"/>
              <w:rPr>
                <w:sz w:val="18"/>
                <w:szCs w:val="18"/>
              </w:rPr>
            </w:pPr>
            <w:r w:rsidRPr="0087487B">
              <w:rPr>
                <w:sz w:val="18"/>
                <w:szCs w:val="18"/>
              </w:rPr>
              <w:t xml:space="preserve">R E </w:t>
            </w:r>
            <w:proofErr w:type="spellStart"/>
            <w:r w:rsidRPr="0087487B">
              <w:rPr>
                <w:sz w:val="18"/>
                <w:szCs w:val="18"/>
              </w:rPr>
              <w:t>Lfx</w:t>
            </w:r>
            <w:proofErr w:type="spellEnd"/>
            <w:r w:rsidRPr="0087487B">
              <w:rPr>
                <w:sz w:val="18"/>
                <w:szCs w:val="18"/>
              </w:rPr>
              <w:t xml:space="preserve"> (or </w:t>
            </w:r>
            <w:proofErr w:type="spellStart"/>
            <w:r w:rsidRPr="0087487B">
              <w:rPr>
                <w:sz w:val="18"/>
                <w:szCs w:val="18"/>
              </w:rPr>
              <w:t>Mfx</w:t>
            </w:r>
            <w:proofErr w:type="spellEnd"/>
            <w:r w:rsidRPr="0087487B">
              <w:rPr>
                <w:sz w:val="18"/>
                <w:szCs w:val="18"/>
              </w:rPr>
              <w:t>)</w:t>
            </w:r>
          </w:p>
        </w:tc>
        <w:tc>
          <w:tcPr>
            <w:tcW w:w="3480" w:type="dxa"/>
            <w:hideMark/>
          </w:tcPr>
          <w:p w14:paraId="20292A53" w14:textId="77777777" w:rsidR="005E3E11" w:rsidRPr="0087487B" w:rsidRDefault="005E3E11" w:rsidP="00314B37">
            <w:pPr>
              <w:pStyle w:val="NormalWeb"/>
              <w:jc w:val="left"/>
              <w:rPr>
                <w:sz w:val="18"/>
                <w:szCs w:val="18"/>
              </w:rPr>
            </w:pPr>
            <w:r w:rsidRPr="0087487B">
              <w:rPr>
                <w:sz w:val="18"/>
                <w:szCs w:val="18"/>
              </w:rPr>
              <w:t>9–12 months</w:t>
            </w:r>
          </w:p>
        </w:tc>
      </w:tr>
      <w:tr w:rsidR="005E3E11" w:rsidRPr="0087487B" w14:paraId="047BA49A" w14:textId="77777777" w:rsidTr="005E3E11">
        <w:trPr>
          <w:cnfStyle w:val="000000010000" w:firstRow="0" w:lastRow="0" w:firstColumn="0" w:lastColumn="0" w:oddVBand="0" w:evenVBand="0" w:oddHBand="0" w:evenHBand="1" w:firstRowFirstColumn="0" w:firstRowLastColumn="0" w:lastRowFirstColumn="0" w:lastRowLastColumn="0"/>
          <w:divId w:val="448665177"/>
        </w:trPr>
        <w:tc>
          <w:tcPr>
            <w:tcW w:w="3480" w:type="dxa"/>
            <w:hideMark/>
          </w:tcPr>
          <w:p w14:paraId="28AFE475" w14:textId="77777777" w:rsidR="005E3E11" w:rsidRPr="0087487B" w:rsidRDefault="005E3E11" w:rsidP="00314B37">
            <w:pPr>
              <w:pStyle w:val="NormalWeb"/>
              <w:jc w:val="left"/>
              <w:rPr>
                <w:sz w:val="18"/>
                <w:szCs w:val="18"/>
              </w:rPr>
            </w:pPr>
            <w:r w:rsidRPr="0087487B">
              <w:rPr>
                <w:sz w:val="18"/>
                <w:szCs w:val="18"/>
              </w:rPr>
              <w:t>H + E + Z</w:t>
            </w:r>
          </w:p>
        </w:tc>
        <w:tc>
          <w:tcPr>
            <w:tcW w:w="3480" w:type="dxa"/>
            <w:hideMark/>
          </w:tcPr>
          <w:p w14:paraId="7EDC1260" w14:textId="77777777" w:rsidR="005E3E11" w:rsidRPr="0087487B" w:rsidRDefault="005E3E11" w:rsidP="00314B37">
            <w:pPr>
              <w:pStyle w:val="NormalWeb"/>
              <w:jc w:val="left"/>
              <w:rPr>
                <w:sz w:val="18"/>
                <w:szCs w:val="18"/>
              </w:rPr>
            </w:pPr>
            <w:proofErr w:type="spellStart"/>
            <w:r w:rsidRPr="0087487B">
              <w:rPr>
                <w:sz w:val="18"/>
                <w:szCs w:val="18"/>
              </w:rPr>
              <w:t>BPaLM</w:t>
            </w:r>
            <w:proofErr w:type="spellEnd"/>
            <w:r w:rsidRPr="0087487B">
              <w:rPr>
                <w:sz w:val="18"/>
                <w:szCs w:val="18"/>
              </w:rPr>
              <w:br/>
              <w:t xml:space="preserve">R </w:t>
            </w:r>
            <w:proofErr w:type="spellStart"/>
            <w:r w:rsidRPr="0087487B">
              <w:rPr>
                <w:sz w:val="18"/>
                <w:szCs w:val="18"/>
              </w:rPr>
              <w:t>Lfx</w:t>
            </w:r>
            <w:proofErr w:type="spellEnd"/>
            <w:r w:rsidRPr="0087487B">
              <w:rPr>
                <w:sz w:val="18"/>
                <w:szCs w:val="18"/>
              </w:rPr>
              <w:t xml:space="preserve"> (or </w:t>
            </w:r>
            <w:proofErr w:type="spellStart"/>
            <w:r w:rsidRPr="0087487B">
              <w:rPr>
                <w:sz w:val="18"/>
                <w:szCs w:val="18"/>
              </w:rPr>
              <w:t>Mfx</w:t>
            </w:r>
            <w:proofErr w:type="spellEnd"/>
            <w:r w:rsidRPr="0087487B">
              <w:rPr>
                <w:sz w:val="18"/>
                <w:szCs w:val="18"/>
              </w:rPr>
              <w:t xml:space="preserve">) </w:t>
            </w:r>
            <w:proofErr w:type="spellStart"/>
            <w:r w:rsidRPr="0087487B">
              <w:rPr>
                <w:sz w:val="18"/>
                <w:szCs w:val="18"/>
              </w:rPr>
              <w:t>Eto</w:t>
            </w:r>
            <w:proofErr w:type="spellEnd"/>
            <w:r w:rsidRPr="0087487B">
              <w:rPr>
                <w:sz w:val="18"/>
                <w:szCs w:val="18"/>
              </w:rPr>
              <w:t xml:space="preserve"> </w:t>
            </w:r>
            <w:proofErr w:type="spellStart"/>
            <w:r w:rsidRPr="0087487B">
              <w:rPr>
                <w:sz w:val="18"/>
                <w:szCs w:val="18"/>
              </w:rPr>
              <w:t>Amk</w:t>
            </w:r>
            <w:proofErr w:type="spellEnd"/>
            <w:r w:rsidRPr="0087487B">
              <w:rPr>
                <w:sz w:val="18"/>
                <w:szCs w:val="18"/>
              </w:rPr>
              <w:t xml:space="preserve"> (2–3)</w:t>
            </w:r>
          </w:p>
        </w:tc>
        <w:tc>
          <w:tcPr>
            <w:tcW w:w="3480" w:type="dxa"/>
            <w:hideMark/>
          </w:tcPr>
          <w:p w14:paraId="5BB9DDB7" w14:textId="77777777" w:rsidR="005E3E11" w:rsidRPr="0087487B" w:rsidRDefault="005E3E11" w:rsidP="00314B37">
            <w:pPr>
              <w:pStyle w:val="NormalWeb"/>
              <w:jc w:val="left"/>
              <w:rPr>
                <w:sz w:val="18"/>
                <w:szCs w:val="18"/>
              </w:rPr>
            </w:pPr>
            <w:r w:rsidRPr="0087487B">
              <w:rPr>
                <w:sz w:val="18"/>
                <w:szCs w:val="18"/>
              </w:rPr>
              <w:t>6 months</w:t>
            </w:r>
            <w:r w:rsidRPr="0087487B">
              <w:rPr>
                <w:sz w:val="18"/>
                <w:szCs w:val="18"/>
              </w:rPr>
              <w:br/>
              <w:t>9–12 months</w:t>
            </w:r>
          </w:p>
        </w:tc>
      </w:tr>
    </w:tbl>
    <w:p w14:paraId="166669BC" w14:textId="77777777" w:rsidR="005E3E11" w:rsidRPr="0087487B" w:rsidRDefault="005E3E11" w:rsidP="005E3E11">
      <w:pPr>
        <w:pStyle w:val="CDIfootnotes"/>
        <w:divId w:val="448665177"/>
      </w:pPr>
      <w:r w:rsidRPr="0087487B">
        <w:t>a</w:t>
      </w:r>
      <w:r w:rsidRPr="0087487B">
        <w:tab/>
        <w:t xml:space="preserve">H: Isoniazid; R: Rifampicin; E: Ethambutol; Z: Pyrazinamide; </w:t>
      </w:r>
      <w:proofErr w:type="spellStart"/>
      <w:r w:rsidRPr="0087487B">
        <w:t>Eto</w:t>
      </w:r>
      <w:proofErr w:type="spellEnd"/>
      <w:r w:rsidRPr="0087487B">
        <w:t xml:space="preserve">: Ethionamide; </w:t>
      </w:r>
      <w:proofErr w:type="spellStart"/>
      <w:r w:rsidRPr="0087487B">
        <w:t>Amk</w:t>
      </w:r>
      <w:proofErr w:type="spellEnd"/>
      <w:r w:rsidRPr="0087487B">
        <w:t>: Amikacin.</w:t>
      </w:r>
    </w:p>
    <w:p w14:paraId="092B6DA3" w14:textId="59AFAA99" w:rsidR="005E3E11" w:rsidRPr="0087487B" w:rsidRDefault="005E3E11" w:rsidP="005E3E11">
      <w:pPr>
        <w:pStyle w:val="CDIfootnotes"/>
        <w:divId w:val="448665177"/>
      </w:pPr>
      <w:r w:rsidRPr="0087487B">
        <w:t>b</w:t>
      </w:r>
      <w:r w:rsidRPr="0087487B">
        <w:tab/>
        <w:t>Levofloxacin (</w:t>
      </w:r>
      <w:proofErr w:type="spellStart"/>
      <w:r w:rsidRPr="0087487B">
        <w:t>Lfx</w:t>
      </w:r>
      <w:proofErr w:type="spellEnd"/>
      <w:r w:rsidRPr="0087487B">
        <w:t>) currently preferred to moxifloxacin (</w:t>
      </w:r>
      <w:proofErr w:type="spellStart"/>
      <w:r w:rsidRPr="0087487B">
        <w:t>Mfx</w:t>
      </w:r>
      <w:proofErr w:type="spellEnd"/>
      <w:r w:rsidRPr="0087487B">
        <w:t xml:space="preserve">). </w:t>
      </w:r>
    </w:p>
    <w:p w14:paraId="04873B06" w14:textId="77777777" w:rsidR="00F605B4" w:rsidRPr="0087487B" w:rsidRDefault="00F605B4" w:rsidP="00A668E1">
      <w:pPr>
        <w:pStyle w:val="Heading1"/>
        <w:divId w:val="448665177"/>
      </w:pPr>
      <w:r w:rsidRPr="0087487B">
        <w:t xml:space="preserve">4. Treatment monitoring </w:t>
      </w:r>
    </w:p>
    <w:p w14:paraId="52EFF9D2" w14:textId="77777777" w:rsidR="00F605B4" w:rsidRPr="0087487B" w:rsidRDefault="00F605B4" w:rsidP="00A668E1">
      <w:pPr>
        <w:pStyle w:val="Heading2"/>
        <w:divId w:val="448665177"/>
      </w:pPr>
      <w:r w:rsidRPr="0087487B">
        <w:t xml:space="preserve">Patient safety </w:t>
      </w:r>
    </w:p>
    <w:p w14:paraId="5B4FC04F" w14:textId="77777777" w:rsidR="00F605B4" w:rsidRPr="0087487B" w:rsidRDefault="00F605B4" w:rsidP="00A668E1">
      <w:pPr>
        <w:divId w:val="448665177"/>
      </w:pPr>
      <w:r w:rsidRPr="0087487B">
        <w:t xml:space="preserve">Regular clinical and laboratory </w:t>
      </w:r>
      <w:proofErr w:type="gramStart"/>
      <w:r w:rsidRPr="0087487B">
        <w:t>monitoring</w:t>
      </w:r>
      <w:proofErr w:type="gramEnd"/>
      <w:r w:rsidRPr="0087487B">
        <w:t xml:space="preserve"> of the patient throughout treatment is essential to ensure patient safety through the timely identification and management of adverse drug reactions (ADRs) and drug toxicity. Failure to detect adverse events </w:t>
      </w:r>
      <w:proofErr w:type="gramStart"/>
      <w:r w:rsidRPr="0087487B">
        <w:t>in a timely manner</w:t>
      </w:r>
      <w:proofErr w:type="gramEnd"/>
      <w:r w:rsidRPr="0087487B">
        <w:t xml:space="preserve"> may result in additional patient suffering and treatment interruptions, the latter a risk for poorer treatment outcomes including further drug resistance. A recommended monitoring schedule and list of the most common ADRs/associated drugs </w:t>
      </w:r>
      <w:proofErr w:type="gramStart"/>
      <w:r w:rsidRPr="0087487B">
        <w:t>are attached</w:t>
      </w:r>
      <w:proofErr w:type="gramEnd"/>
      <w:r w:rsidRPr="0087487B">
        <w:t xml:space="preserve"> (appendix A.3). Optimally there should also be a data collection system in place to </w:t>
      </w:r>
      <w:proofErr w:type="gramStart"/>
      <w:r w:rsidRPr="0087487B">
        <w:t>monitor</w:t>
      </w:r>
      <w:proofErr w:type="gramEnd"/>
      <w:r w:rsidRPr="0087487B">
        <w:t xml:space="preserve"> the frequency of these adverse events and subsequent clinical actions including the need to cease a drug or modify the treatment regimen. </w:t>
      </w:r>
    </w:p>
    <w:p w14:paraId="1D917A6E" w14:textId="77777777" w:rsidR="00F605B4" w:rsidRPr="0087487B" w:rsidRDefault="00F605B4" w:rsidP="00A668E1">
      <w:pPr>
        <w:pStyle w:val="Heading2"/>
        <w:divId w:val="448665177"/>
      </w:pPr>
      <w:r w:rsidRPr="0087487B">
        <w:t xml:space="preserve">Response to treatment </w:t>
      </w:r>
    </w:p>
    <w:p w14:paraId="71129EBB" w14:textId="77777777" w:rsidR="00F605B4" w:rsidRPr="0087487B" w:rsidRDefault="00F605B4" w:rsidP="00A668E1">
      <w:pPr>
        <w:divId w:val="448665177"/>
      </w:pPr>
      <w:r w:rsidRPr="0087487B">
        <w:t xml:space="preserve">Assessing the patient’s response to DR-TB treatment through regular clinical, </w:t>
      </w:r>
      <w:proofErr w:type="gramStart"/>
      <w:r w:rsidRPr="0087487B">
        <w:t>radiographic</w:t>
      </w:r>
      <w:proofErr w:type="gramEnd"/>
      <w:r w:rsidRPr="0087487B">
        <w:t xml:space="preserve"> and bacteriologic assessments is important to ensure appropriate improvement and if not, detect evidence of treatment failure as early as possible. A suggested monitoring schedule is set out in Appendix A.3. </w:t>
      </w:r>
    </w:p>
    <w:p w14:paraId="726064CA" w14:textId="77777777" w:rsidR="00F605B4" w:rsidRPr="0087487B" w:rsidRDefault="00F605B4" w:rsidP="00A668E1">
      <w:pPr>
        <w:divId w:val="448665177"/>
      </w:pPr>
      <w:r w:rsidRPr="0087487B">
        <w:t xml:space="preserve">In pulmonary cases, the WHO recommended standard is monthly cultures for the duration of treatment. Repeat DST is recommended to assess for </w:t>
      </w:r>
      <w:proofErr w:type="gramStart"/>
      <w:r w:rsidRPr="0087487B">
        <w:t>additional</w:t>
      </w:r>
      <w:proofErr w:type="gramEnd"/>
      <w:r w:rsidRPr="0087487B">
        <w:t xml:space="preserve"> resistance if cultures are still positive at 3–4 months or if following culture conversion to negative, reversion to positive occurs. If cultures are still positive at 4 months, treatment failure should be considered.</w:t>
      </w:r>
      <w:r w:rsidRPr="0087487B">
        <w:rPr>
          <w:vertAlign w:val="superscript"/>
        </w:rPr>
        <w:t>5,</w:t>
      </w:r>
      <w:proofErr w:type="gramStart"/>
      <w:r w:rsidRPr="0087487B">
        <w:rPr>
          <w:vertAlign w:val="superscript"/>
        </w:rPr>
        <w:t>28</w:t>
      </w:r>
      <w:proofErr w:type="gramEnd"/>
      <w:r w:rsidRPr="0087487B">
        <w:rPr>
          <w:vertAlign w:val="superscript"/>
        </w:rPr>
        <w:t xml:space="preserve"> </w:t>
      </w:r>
    </w:p>
    <w:p w14:paraId="77079922" w14:textId="77777777" w:rsidR="00F605B4" w:rsidRPr="0087487B" w:rsidRDefault="00F605B4" w:rsidP="00A668E1">
      <w:pPr>
        <w:pStyle w:val="Heading2"/>
        <w:divId w:val="448665177"/>
      </w:pPr>
      <w:r w:rsidRPr="0087487B">
        <w:t xml:space="preserve">Therapeutic drug monitoring </w:t>
      </w:r>
    </w:p>
    <w:p w14:paraId="798AA203" w14:textId="77777777" w:rsidR="00F605B4" w:rsidRPr="0087487B" w:rsidRDefault="00F605B4" w:rsidP="00264715">
      <w:pPr>
        <w:divId w:val="448665177"/>
      </w:pPr>
      <w:r w:rsidRPr="0087487B">
        <w:t xml:space="preserve">While </w:t>
      </w:r>
      <w:proofErr w:type="gramStart"/>
      <w:r w:rsidRPr="0087487B">
        <w:t>appropriate selection</w:t>
      </w:r>
      <w:proofErr w:type="gramEnd"/>
      <w:r w:rsidRPr="0087487B">
        <w:t xml:space="preserve"> of antimicrobial agents as detailed in this document is critical, individual variation in pharmacokinetics can be significant. Tailoring therapy to optimise effectiveness while limiting toxicity benefits from therapeutic drug monitoring (TDM) of a number of agents.</w:t>
      </w:r>
      <w:r w:rsidRPr="0087487B">
        <w:rPr>
          <w:vertAlign w:val="superscript"/>
        </w:rPr>
        <w:t>35</w:t>
      </w:r>
      <w:r w:rsidRPr="0087487B">
        <w:t xml:space="preserve"> Routine use of TDM can assist in confidence regarding drug absorption and penetration to the site of disease, and dose adjustment may assist in reducing side effects without compromising treatment outcomes.</w:t>
      </w:r>
      <w:r w:rsidRPr="0087487B">
        <w:rPr>
          <w:vertAlign w:val="superscript"/>
        </w:rPr>
        <w:t>36</w:t>
      </w:r>
      <w:r w:rsidRPr="0087487B">
        <w:t xml:space="preserve"> Optimal TDM parameters are not defined for all medications but are expected to become more available during the lifetime of this document. </w:t>
      </w:r>
    </w:p>
    <w:p w14:paraId="5676463F" w14:textId="77777777" w:rsidR="00F605B4" w:rsidRPr="0087487B" w:rsidRDefault="00F605B4" w:rsidP="00264715">
      <w:pPr>
        <w:divId w:val="448665177"/>
      </w:pPr>
      <w:r w:rsidRPr="0087487B">
        <w:t xml:space="preserve">Access to TDM across Australia is variable, and delays in clinical impact may result from transfer of samples to remote testing facilities or batching of assays. NTAC supports efforts to expand TDM access and encourage more routine use. </w:t>
      </w:r>
    </w:p>
    <w:p w14:paraId="1271D427" w14:textId="77777777" w:rsidR="00F605B4" w:rsidRPr="0087487B" w:rsidRDefault="00F605B4" w:rsidP="00264715">
      <w:pPr>
        <w:pStyle w:val="Heading2"/>
        <w:divId w:val="448665177"/>
      </w:pPr>
      <w:r w:rsidRPr="0087487B">
        <w:t xml:space="preserve">Post treatment follow-up </w:t>
      </w:r>
    </w:p>
    <w:p w14:paraId="33E499E9" w14:textId="77777777" w:rsidR="00F605B4" w:rsidRPr="0087487B" w:rsidRDefault="00F605B4" w:rsidP="00264715">
      <w:pPr>
        <w:divId w:val="448665177"/>
      </w:pPr>
      <w:r w:rsidRPr="0087487B">
        <w:lastRenderedPageBreak/>
        <w:t xml:space="preserve">Follow-up at six-monthly intervals for at least two years to assess for relapse is </w:t>
      </w:r>
      <w:proofErr w:type="gramStart"/>
      <w:r w:rsidRPr="0087487B">
        <w:t>advised</w:t>
      </w:r>
      <w:proofErr w:type="gramEnd"/>
      <w:r w:rsidRPr="0087487B">
        <w:t xml:space="preserve">. Dependent on the </w:t>
      </w:r>
      <w:proofErr w:type="gramStart"/>
      <w:r w:rsidRPr="0087487B">
        <w:t>initial</w:t>
      </w:r>
      <w:proofErr w:type="gramEnd"/>
      <w:r w:rsidRPr="0087487B">
        <w:t xml:space="preserve"> severity of disease and resistance pattern, and any complicating issues, further longer-term follow-up may be indicated. It </w:t>
      </w:r>
      <w:proofErr w:type="gramStart"/>
      <w:r w:rsidRPr="0087487B">
        <w:t>is recommended</w:t>
      </w:r>
      <w:proofErr w:type="gramEnd"/>
      <w:r w:rsidRPr="0087487B">
        <w:t xml:space="preserve"> that an end of treatment functional assessment be conducted. While this may vary in relation to site of disease, with regards to pulmonary disease this assessment should include imaging, respiratory function tests, six-minute walk test, quality of life assessment and consideration of pulmonary rehabilitation.</w:t>
      </w:r>
      <w:r w:rsidRPr="0087487B">
        <w:rPr>
          <w:vertAlign w:val="superscript"/>
        </w:rPr>
        <w:t xml:space="preserve">37 </w:t>
      </w:r>
    </w:p>
    <w:p w14:paraId="63F14CE5" w14:textId="77777777" w:rsidR="00F605B4" w:rsidRPr="0087487B" w:rsidRDefault="00F605B4" w:rsidP="00264715">
      <w:pPr>
        <w:pStyle w:val="Heading2"/>
        <w:divId w:val="448665177"/>
      </w:pPr>
      <w:r w:rsidRPr="0087487B">
        <w:t xml:space="preserve">Patient care and support </w:t>
      </w:r>
    </w:p>
    <w:p w14:paraId="3B1FD172" w14:textId="77777777" w:rsidR="00F605B4" w:rsidRPr="0087487B" w:rsidRDefault="00F605B4" w:rsidP="00264715">
      <w:pPr>
        <w:divId w:val="448665177"/>
      </w:pPr>
      <w:r w:rsidRPr="0087487B">
        <w:t xml:space="preserve">There is an increased emphasis on patient-centred case management, to help the patient better understand their diagnosis and </w:t>
      </w:r>
      <w:proofErr w:type="gramStart"/>
      <w:r w:rsidRPr="0087487B">
        <w:t>participate</w:t>
      </w:r>
      <w:proofErr w:type="gramEnd"/>
      <w:r w:rsidRPr="0087487B">
        <w:t xml:space="preserve"> in their treatment decisions. This treatment partnership approach allows for improved communication to help ensure: </w:t>
      </w:r>
    </w:p>
    <w:p w14:paraId="4EB2DD9A" w14:textId="77777777" w:rsidR="00F605B4" w:rsidRPr="0087487B" w:rsidRDefault="00F605B4" w:rsidP="00934C63">
      <w:pPr>
        <w:pStyle w:val="ListParagraph"/>
        <w:numPr>
          <w:ilvl w:val="0"/>
          <w:numId w:val="27"/>
        </w:numPr>
        <w:divId w:val="448665177"/>
        <w:rPr>
          <w:rFonts w:eastAsia="Times New Roman"/>
        </w:rPr>
      </w:pPr>
      <w:r w:rsidRPr="0087487B">
        <w:rPr>
          <w:rFonts w:eastAsia="Times New Roman"/>
        </w:rPr>
        <w:t xml:space="preserve">that adequate information about treatment options and potential benefits and risks is </w:t>
      </w:r>
      <w:proofErr w:type="gramStart"/>
      <w:r w:rsidRPr="0087487B">
        <w:rPr>
          <w:rFonts w:eastAsia="Times New Roman"/>
        </w:rPr>
        <w:t>provided;</w:t>
      </w:r>
      <w:proofErr w:type="gramEnd"/>
      <w:r w:rsidRPr="0087487B">
        <w:rPr>
          <w:rFonts w:eastAsia="Times New Roman"/>
        </w:rPr>
        <w:t xml:space="preserve"> </w:t>
      </w:r>
    </w:p>
    <w:p w14:paraId="3EEC38F5" w14:textId="77777777" w:rsidR="00F605B4" w:rsidRPr="0087487B" w:rsidRDefault="00F605B4" w:rsidP="00934C63">
      <w:pPr>
        <w:pStyle w:val="ListParagraph"/>
        <w:numPr>
          <w:ilvl w:val="0"/>
          <w:numId w:val="27"/>
        </w:numPr>
        <w:divId w:val="448665177"/>
        <w:rPr>
          <w:rFonts w:eastAsia="Times New Roman"/>
        </w:rPr>
      </w:pPr>
      <w:r w:rsidRPr="0087487B">
        <w:rPr>
          <w:rFonts w:eastAsia="Times New Roman"/>
        </w:rPr>
        <w:t xml:space="preserve">that the patient (and family) better understand the diagnosis and treatment and side </w:t>
      </w:r>
      <w:proofErr w:type="gramStart"/>
      <w:r w:rsidRPr="0087487B">
        <w:rPr>
          <w:rFonts w:eastAsia="Times New Roman"/>
        </w:rPr>
        <w:t>effects;</w:t>
      </w:r>
      <w:proofErr w:type="gramEnd"/>
      <w:r w:rsidRPr="0087487B">
        <w:rPr>
          <w:rFonts w:eastAsia="Times New Roman"/>
        </w:rPr>
        <w:t xml:space="preserve"> </w:t>
      </w:r>
    </w:p>
    <w:p w14:paraId="0751EAF2" w14:textId="77777777" w:rsidR="00F605B4" w:rsidRPr="0087487B" w:rsidRDefault="00F605B4" w:rsidP="00934C63">
      <w:pPr>
        <w:pStyle w:val="ListParagraph"/>
        <w:numPr>
          <w:ilvl w:val="0"/>
          <w:numId w:val="27"/>
        </w:numPr>
        <w:divId w:val="448665177"/>
        <w:rPr>
          <w:rFonts w:eastAsia="Times New Roman"/>
        </w:rPr>
      </w:pPr>
      <w:r w:rsidRPr="0087487B">
        <w:rPr>
          <w:rFonts w:eastAsia="Times New Roman"/>
        </w:rPr>
        <w:t xml:space="preserve">the importance of treatment adherence and agreeing to a suitable approach for treatment </w:t>
      </w:r>
      <w:proofErr w:type="gramStart"/>
      <w:r w:rsidRPr="0087487B">
        <w:rPr>
          <w:rFonts w:eastAsia="Times New Roman"/>
        </w:rPr>
        <w:t>administration;</w:t>
      </w:r>
      <w:proofErr w:type="gramEnd"/>
      <w:r w:rsidRPr="0087487B">
        <w:rPr>
          <w:rFonts w:eastAsia="Times New Roman"/>
        </w:rPr>
        <w:t xml:space="preserve"> </w:t>
      </w:r>
    </w:p>
    <w:p w14:paraId="6CAEF484" w14:textId="77777777" w:rsidR="00F605B4" w:rsidRPr="0087487B" w:rsidRDefault="00F605B4" w:rsidP="00934C63">
      <w:pPr>
        <w:pStyle w:val="ListParagraph"/>
        <w:numPr>
          <w:ilvl w:val="0"/>
          <w:numId w:val="27"/>
        </w:numPr>
        <w:divId w:val="448665177"/>
        <w:rPr>
          <w:rFonts w:eastAsia="Times New Roman"/>
        </w:rPr>
      </w:pPr>
      <w:r w:rsidRPr="0087487B">
        <w:rPr>
          <w:rFonts w:eastAsia="Times New Roman"/>
        </w:rPr>
        <w:t xml:space="preserve">provision of the support measures for the patient/family that may be </w:t>
      </w:r>
      <w:proofErr w:type="gramStart"/>
      <w:r w:rsidRPr="0087487B">
        <w:rPr>
          <w:rFonts w:eastAsia="Times New Roman"/>
        </w:rPr>
        <w:t>required</w:t>
      </w:r>
      <w:proofErr w:type="gramEnd"/>
      <w:r w:rsidRPr="0087487B">
        <w:rPr>
          <w:rFonts w:eastAsia="Times New Roman"/>
        </w:rPr>
        <w:t xml:space="preserve">; and </w:t>
      </w:r>
    </w:p>
    <w:p w14:paraId="0EE76B69" w14:textId="77777777" w:rsidR="00F605B4" w:rsidRPr="0087487B" w:rsidRDefault="00F605B4" w:rsidP="00934C63">
      <w:pPr>
        <w:pStyle w:val="ListParagraph"/>
        <w:numPr>
          <w:ilvl w:val="0"/>
          <w:numId w:val="27"/>
        </w:numPr>
        <w:divId w:val="448665177"/>
        <w:rPr>
          <w:rFonts w:eastAsia="Times New Roman"/>
        </w:rPr>
      </w:pPr>
      <w:r w:rsidRPr="0087487B">
        <w:rPr>
          <w:rFonts w:eastAsia="Times New Roman"/>
        </w:rPr>
        <w:t xml:space="preserve">the most </w:t>
      </w:r>
      <w:proofErr w:type="gramStart"/>
      <w:r w:rsidRPr="0087487B">
        <w:rPr>
          <w:rFonts w:eastAsia="Times New Roman"/>
        </w:rPr>
        <w:t>appropriate means</w:t>
      </w:r>
      <w:proofErr w:type="gramEnd"/>
      <w:r w:rsidRPr="0087487B">
        <w:rPr>
          <w:rFonts w:eastAsia="Times New Roman"/>
        </w:rPr>
        <w:t xml:space="preserve"> of communication and who to report concerns. </w:t>
      </w:r>
    </w:p>
    <w:p w14:paraId="5F104D92" w14:textId="77777777" w:rsidR="00F605B4" w:rsidRPr="0087487B" w:rsidRDefault="00F605B4" w:rsidP="00264715">
      <w:pPr>
        <w:divId w:val="448665177"/>
      </w:pPr>
      <w:r w:rsidRPr="0087487B">
        <w:t xml:space="preserve">Regular interactions with the patient throughout treatment provide valuable opportunities to identify and help address any concerns, </w:t>
      </w:r>
      <w:proofErr w:type="gramStart"/>
      <w:r w:rsidRPr="0087487B">
        <w:t>e.g.</w:t>
      </w:r>
      <w:proofErr w:type="gramEnd"/>
      <w:r w:rsidRPr="0087487B">
        <w:t xml:space="preserve"> nutritional, psycho-social, financial. This patient-centred support is important to gaining the patient’s confidence and trust in the treatment process to help ensure a successful outcome. </w:t>
      </w:r>
    </w:p>
    <w:p w14:paraId="0F7CBD3F" w14:textId="77777777" w:rsidR="00F605B4" w:rsidRPr="0087487B" w:rsidRDefault="00F605B4" w:rsidP="00264715">
      <w:pPr>
        <w:pStyle w:val="Heading1"/>
        <w:divId w:val="448665177"/>
      </w:pPr>
      <w:r w:rsidRPr="0087487B">
        <w:t xml:space="preserve">5. Public health issues </w:t>
      </w:r>
    </w:p>
    <w:p w14:paraId="3F74E03F" w14:textId="77777777" w:rsidR="00F605B4" w:rsidRPr="0087487B" w:rsidRDefault="00F605B4" w:rsidP="00264715">
      <w:pPr>
        <w:pStyle w:val="Heading2"/>
        <w:divId w:val="448665177"/>
      </w:pPr>
      <w:r w:rsidRPr="0087487B">
        <w:t xml:space="preserve">Infection control </w:t>
      </w:r>
    </w:p>
    <w:p w14:paraId="01CB99DF" w14:textId="77777777" w:rsidR="00F605B4" w:rsidRPr="0087487B" w:rsidRDefault="00F605B4" w:rsidP="00264715">
      <w:pPr>
        <w:divId w:val="448665177"/>
      </w:pPr>
      <w:r w:rsidRPr="0087487B">
        <w:t xml:space="preserve">Emphasis should be placed on strict adherence to infection control measures when managing a case of MDR-TB, as there is limited data on the efficacy of treatment of recently </w:t>
      </w:r>
      <w:proofErr w:type="gramStart"/>
      <w:r w:rsidRPr="0087487B">
        <w:t>acquired</w:t>
      </w:r>
      <w:proofErr w:type="gramEnd"/>
      <w:r w:rsidRPr="0087487B">
        <w:t xml:space="preserve"> latent MDR-TB infection. </w:t>
      </w:r>
    </w:p>
    <w:p w14:paraId="7ADAB056" w14:textId="77777777" w:rsidR="00F605B4" w:rsidRPr="0087487B" w:rsidRDefault="00F605B4" w:rsidP="00264715">
      <w:pPr>
        <w:divId w:val="448665177"/>
      </w:pPr>
      <w:r w:rsidRPr="0087487B">
        <w:t xml:space="preserve">Infection control practices and isolation can significantly </w:t>
      </w:r>
      <w:proofErr w:type="gramStart"/>
      <w:r w:rsidRPr="0087487B">
        <w:t>impact</w:t>
      </w:r>
      <w:proofErr w:type="gramEnd"/>
      <w:r w:rsidRPr="0087487B">
        <w:t xml:space="preserve"> the patient and family and add to the stigma of the patient with MDR-TB. The duration of isolation needs not only to take account of the safety of the public and the patient’s family and contacts but should also consider the mental health and morale of the patient. </w:t>
      </w:r>
    </w:p>
    <w:p w14:paraId="32ABD984" w14:textId="77777777" w:rsidR="00F605B4" w:rsidRPr="0087487B" w:rsidRDefault="00F605B4" w:rsidP="00264715">
      <w:pPr>
        <w:divId w:val="448665177"/>
      </w:pPr>
      <w:r w:rsidRPr="0087487B">
        <w:t>In those with pulmonary disease, effective treatment rapidly reduces the infectiousness risk. The approach to determining when the patient can be considered safe from a public health perspective should be based on the patient’s clinical improvement particularly cough reduction, trend in sputum smear/culture results and continuity of an effective treatment regimen.</w:t>
      </w:r>
      <w:r w:rsidRPr="0087487B">
        <w:rPr>
          <w:vertAlign w:val="superscript"/>
        </w:rPr>
        <w:t>38,</w:t>
      </w:r>
      <w:proofErr w:type="gramStart"/>
      <w:r w:rsidRPr="0087487B">
        <w:rPr>
          <w:vertAlign w:val="superscript"/>
        </w:rPr>
        <w:t>39</w:t>
      </w:r>
      <w:proofErr w:type="gramEnd"/>
      <w:r w:rsidRPr="0087487B">
        <w:t xml:space="preserve"> </w:t>
      </w:r>
    </w:p>
    <w:p w14:paraId="05C47AB1" w14:textId="77777777" w:rsidR="00F605B4" w:rsidRPr="0087487B" w:rsidRDefault="00F605B4" w:rsidP="00264715">
      <w:pPr>
        <w:pStyle w:val="Heading3"/>
        <w:divId w:val="448665177"/>
      </w:pPr>
      <w:r w:rsidRPr="0087487B">
        <w:t xml:space="preserve">Management of contacts </w:t>
      </w:r>
    </w:p>
    <w:p w14:paraId="5DA394B1" w14:textId="77777777" w:rsidR="00F605B4" w:rsidRPr="0087487B" w:rsidRDefault="00F605B4" w:rsidP="00264715">
      <w:pPr>
        <w:divId w:val="448665177"/>
      </w:pPr>
      <w:r w:rsidRPr="0087487B">
        <w:t xml:space="preserve">Assessment of those exposed to </w:t>
      </w:r>
      <w:proofErr w:type="gramStart"/>
      <w:r w:rsidRPr="0087487B">
        <w:t>a</w:t>
      </w:r>
      <w:proofErr w:type="gramEnd"/>
      <w:r w:rsidRPr="0087487B">
        <w:t xml:space="preserve"> MDR-TB case needs to consider the probability of recent infection and the subsequent risk for progression to active TB, which is greatly increased in children under 5 years of age and in those who are immunocompromised. The lifetime risk of progression to disease in healthy adults is approximately 10%, with around 50% of disease occurrence happening within the first two years after exposure/infection. However, in young children (&lt; 5 years of age) and the immunocompromised, the disease risk is far higher (20–50% depending on age and degree of immune compromise) and most disease progression (&gt; 90%) occurs within 12 months of exposure/infection. </w:t>
      </w:r>
    </w:p>
    <w:p w14:paraId="678C3393" w14:textId="77777777" w:rsidR="00F605B4" w:rsidRPr="0087487B" w:rsidRDefault="00F605B4" w:rsidP="00264715">
      <w:pPr>
        <w:divId w:val="448665177"/>
      </w:pPr>
      <w:r w:rsidRPr="0087487B">
        <w:t xml:space="preserve">The decision as to whether to use preventive treatment in close MDR-TB contacts </w:t>
      </w:r>
      <w:proofErr w:type="gramStart"/>
      <w:r w:rsidRPr="0087487B">
        <w:t>remains</w:t>
      </w:r>
      <w:proofErr w:type="gramEnd"/>
      <w:r w:rsidRPr="0087487B">
        <w:t xml:space="preserve"> problematic due to insufficient evidence. However, the guidance is now more definitive, with one systematic review estimating a protective effect of 90% when using a fluoroquinolone or fluoroquinolone-based preventive treatment regimen.</w:t>
      </w:r>
      <w:r w:rsidRPr="0087487B">
        <w:rPr>
          <w:vertAlign w:val="superscript"/>
        </w:rPr>
        <w:t>40</w:t>
      </w:r>
      <w:r w:rsidRPr="0087487B">
        <w:t xml:space="preserve"> </w:t>
      </w:r>
      <w:r w:rsidRPr="0087487B">
        <w:lastRenderedPageBreak/>
        <w:t>Several ongoing trials (</w:t>
      </w:r>
      <w:proofErr w:type="gramStart"/>
      <w:r w:rsidRPr="0087487B">
        <w:t>e.g.</w:t>
      </w:r>
      <w:proofErr w:type="gramEnd"/>
      <w:r w:rsidRPr="0087487B">
        <w:t xml:space="preserve"> the </w:t>
      </w:r>
      <w:proofErr w:type="spellStart"/>
      <w:r w:rsidRPr="0087487B">
        <w:t>PHOENix</w:t>
      </w:r>
      <w:proofErr w:type="spellEnd"/>
      <w:r w:rsidRPr="0087487B">
        <w:t xml:space="preserve">, V-QUIN and TB-CHAMP trials) are evaluating DR-TB preventive therapy options. </w:t>
      </w:r>
    </w:p>
    <w:p w14:paraId="08A3701D" w14:textId="77777777" w:rsidR="00F605B4" w:rsidRPr="0087487B" w:rsidRDefault="00F605B4" w:rsidP="00264715">
      <w:pPr>
        <w:divId w:val="448665177"/>
      </w:pPr>
      <w:r w:rsidRPr="0087487B">
        <w:t xml:space="preserve">The new ATS/CDC/ERS/IDSA guidelines support the use of a fluoroquinolone for 6–12 months (with/without a second drug, </w:t>
      </w:r>
      <w:proofErr w:type="gramStart"/>
      <w:r w:rsidRPr="0087487B">
        <w:t>e.g.</w:t>
      </w:r>
      <w:proofErr w:type="gramEnd"/>
      <w:r w:rsidRPr="0087487B">
        <w:t xml:space="preserve"> ethambutol) based on the DST result of the source case. If a second drug is to be considered, pyrazinamide is not </w:t>
      </w:r>
      <w:proofErr w:type="gramStart"/>
      <w:r w:rsidRPr="0087487B">
        <w:t>advised</w:t>
      </w:r>
      <w:proofErr w:type="gramEnd"/>
      <w:r w:rsidRPr="0087487B">
        <w:t>.</w:t>
      </w:r>
      <w:r w:rsidRPr="0087487B">
        <w:rPr>
          <w:vertAlign w:val="superscript"/>
        </w:rPr>
        <w:t>5</w:t>
      </w:r>
      <w:r w:rsidRPr="0087487B">
        <w:t xml:space="preserve"> In the event of fluoroquinolone resistance, there is little evidence for use of other agents, although ethambutol and pyrazinamide could be considered if susceptible, or newer drugs like </w:t>
      </w:r>
      <w:proofErr w:type="spellStart"/>
      <w:r w:rsidRPr="0087487B">
        <w:t>delamanid</w:t>
      </w:r>
      <w:proofErr w:type="spellEnd"/>
      <w:r w:rsidRPr="0087487B">
        <w:t xml:space="preserve">. In Australia, the use of fluoroquinolone-based treatment for those with evidence of </w:t>
      </w:r>
      <w:proofErr w:type="gramStart"/>
      <w:r w:rsidRPr="0087487B">
        <w:t>likely recent</w:t>
      </w:r>
      <w:proofErr w:type="gramEnd"/>
      <w:r w:rsidRPr="0087487B">
        <w:t xml:space="preserve"> MDR-TB infection (active disease excluded) is now commonly undertaken and considered reasonable given the </w:t>
      </w:r>
      <w:proofErr w:type="spellStart"/>
      <w:r w:rsidRPr="0087487B">
        <w:t>benefit:risk</w:t>
      </w:r>
      <w:proofErr w:type="spellEnd"/>
      <w:r w:rsidRPr="0087487B">
        <w:t xml:space="preserve"> ratio. </w:t>
      </w:r>
    </w:p>
    <w:p w14:paraId="0110B69F" w14:textId="77777777" w:rsidR="00F605B4" w:rsidRPr="0087487B" w:rsidRDefault="00F605B4" w:rsidP="00264715">
      <w:pPr>
        <w:divId w:val="448665177"/>
      </w:pPr>
      <w:r w:rsidRPr="0087487B">
        <w:t xml:space="preserve">If a careful observation only approach (clinical and radiologic surveillance) is adopted, a minimum period of two years is </w:t>
      </w:r>
      <w:proofErr w:type="gramStart"/>
      <w:r w:rsidRPr="0087487B">
        <w:t>advised</w:t>
      </w:r>
      <w:proofErr w:type="gramEnd"/>
      <w:r w:rsidRPr="0087487B">
        <w:t xml:space="preserve">, although the evidence for what constitutes optimal follow-up in terms of patient benefit and cost is limited. </w:t>
      </w:r>
    </w:p>
    <w:p w14:paraId="793A9A12" w14:textId="77777777" w:rsidR="00F605B4" w:rsidRPr="0087487B" w:rsidRDefault="00F605B4" w:rsidP="00264715">
      <w:pPr>
        <w:divId w:val="448665177"/>
      </w:pPr>
      <w:r w:rsidRPr="0087487B">
        <w:t xml:space="preserve">Active TB should always </w:t>
      </w:r>
      <w:proofErr w:type="gramStart"/>
      <w:r w:rsidRPr="0087487B">
        <w:t>be excluded</w:t>
      </w:r>
      <w:proofErr w:type="gramEnd"/>
      <w:r w:rsidRPr="0087487B">
        <w:t xml:space="preserve"> before considering preventive treatment, as unintentional treatment of active infection with a single drug risks drug resistance amplification. </w:t>
      </w:r>
    </w:p>
    <w:p w14:paraId="58359A1A" w14:textId="77777777" w:rsidR="00F605B4" w:rsidRPr="0087487B" w:rsidRDefault="00F605B4" w:rsidP="00264715">
      <w:pPr>
        <w:pStyle w:val="Heading3"/>
        <w:divId w:val="448665177"/>
      </w:pPr>
      <w:r w:rsidRPr="0087487B">
        <w:t xml:space="preserve">Surveillance </w:t>
      </w:r>
    </w:p>
    <w:p w14:paraId="1B65BCAD" w14:textId="77777777" w:rsidR="00F605B4" w:rsidRPr="0087487B" w:rsidRDefault="00F605B4" w:rsidP="00264715">
      <w:pPr>
        <w:divId w:val="448665177"/>
      </w:pPr>
      <w:r w:rsidRPr="0087487B">
        <w:t>The WHO in 2021 aligned treatment outcome definitions for both drug-susceptible and drug-resistant TB to help simplify reporting of TB outcomes.</w:t>
      </w:r>
      <w:r w:rsidRPr="0087487B">
        <w:rPr>
          <w:vertAlign w:val="superscript"/>
        </w:rPr>
        <w:t>41</w:t>
      </w:r>
      <w:r w:rsidRPr="0087487B">
        <w:t xml:space="preserve"> The new definitions are set out in Table 8. </w:t>
      </w:r>
    </w:p>
    <w:p w14:paraId="2903FB89" w14:textId="77777777" w:rsidR="00F605B4" w:rsidRPr="0087487B" w:rsidRDefault="00F605B4" w:rsidP="00264715">
      <w:pPr>
        <w:divId w:val="448665177"/>
      </w:pPr>
      <w:proofErr w:type="gramStart"/>
      <w:r w:rsidRPr="0087487B">
        <w:t>Additional</w:t>
      </w:r>
      <w:proofErr w:type="gramEnd"/>
      <w:r w:rsidRPr="0087487B">
        <w:t xml:space="preserve"> key areas for monitoring in the Australian context include patterns of resistance, regimen implemented (shorter versus longer course), and contact management. </w:t>
      </w:r>
    </w:p>
    <w:p w14:paraId="217DA95E" w14:textId="77777777" w:rsidR="0088574C" w:rsidRPr="0087487B" w:rsidRDefault="0088574C" w:rsidP="0088574C">
      <w:pPr>
        <w:pStyle w:val="CDIFigures"/>
        <w:divId w:val="448665177"/>
      </w:pPr>
      <w:bookmarkStart w:id="6" w:name="_Hlk147995962"/>
      <w:r w:rsidRPr="0087487B">
        <w:rPr>
          <w:rStyle w:val="Strong"/>
          <w:b/>
          <w:bCs w:val="0"/>
        </w:rPr>
        <w:t>Table 8: New TB treatment outcome definitions for DS-TB and DR-TB (WHO 2021)</w:t>
      </w:r>
      <w:bookmarkEnd w:id="6"/>
    </w:p>
    <w:tbl>
      <w:tblPr>
        <w:tblStyle w:val="CDI-StandardTable"/>
        <w:tblW w:w="0" w:type="auto"/>
        <w:tblLook w:val="04A0" w:firstRow="1" w:lastRow="0" w:firstColumn="1" w:lastColumn="0" w:noHBand="0" w:noVBand="1"/>
        <w:tblDescription w:val="A tabulation of the WHO (2021) outcome definitions for DS- and DR-TB, for the following outcomes: treatment failed; cured; treatment completed; treatment success; died; lost to follow-up; not evaluated."/>
      </w:tblPr>
      <w:tblGrid>
        <w:gridCol w:w="1843"/>
        <w:gridCol w:w="8623"/>
      </w:tblGrid>
      <w:tr w:rsidR="0088574C" w:rsidRPr="0087487B" w14:paraId="4A317BC9" w14:textId="77777777" w:rsidTr="0088574C">
        <w:trPr>
          <w:cnfStyle w:val="100000000000" w:firstRow="1" w:lastRow="0" w:firstColumn="0" w:lastColumn="0" w:oddVBand="0" w:evenVBand="0" w:oddHBand="0" w:evenHBand="0" w:firstRowFirstColumn="0" w:firstRowLastColumn="0" w:lastRowFirstColumn="0" w:lastRowLastColumn="0"/>
          <w:divId w:val="448665177"/>
        </w:trPr>
        <w:tc>
          <w:tcPr>
            <w:tcW w:w="1843" w:type="dxa"/>
            <w:hideMark/>
          </w:tcPr>
          <w:p w14:paraId="6CD74267" w14:textId="77777777" w:rsidR="0088574C" w:rsidRPr="0087487B" w:rsidRDefault="0088574C" w:rsidP="00314B37">
            <w:pPr>
              <w:pStyle w:val="NormalWeb"/>
              <w:jc w:val="left"/>
              <w:rPr>
                <w:sz w:val="18"/>
                <w:szCs w:val="18"/>
              </w:rPr>
            </w:pPr>
            <w:r w:rsidRPr="0087487B">
              <w:rPr>
                <w:sz w:val="18"/>
                <w:szCs w:val="18"/>
              </w:rPr>
              <w:t>Outcome</w:t>
            </w:r>
          </w:p>
        </w:tc>
        <w:tc>
          <w:tcPr>
            <w:tcW w:w="8623" w:type="dxa"/>
            <w:hideMark/>
          </w:tcPr>
          <w:p w14:paraId="191B5FA8" w14:textId="77777777" w:rsidR="0088574C" w:rsidRPr="0087487B" w:rsidRDefault="0088574C" w:rsidP="00314B37">
            <w:pPr>
              <w:pStyle w:val="NormalWeb"/>
              <w:jc w:val="left"/>
              <w:rPr>
                <w:sz w:val="18"/>
                <w:szCs w:val="18"/>
              </w:rPr>
            </w:pPr>
            <w:r w:rsidRPr="0087487B">
              <w:rPr>
                <w:sz w:val="18"/>
                <w:szCs w:val="18"/>
              </w:rPr>
              <w:t>Definition</w:t>
            </w:r>
          </w:p>
        </w:tc>
      </w:tr>
      <w:tr w:rsidR="0088574C" w:rsidRPr="0087487B" w14:paraId="279D3ED6" w14:textId="77777777" w:rsidTr="0088574C">
        <w:trPr>
          <w:divId w:val="448665177"/>
        </w:trPr>
        <w:tc>
          <w:tcPr>
            <w:tcW w:w="1843" w:type="dxa"/>
            <w:hideMark/>
          </w:tcPr>
          <w:p w14:paraId="676699FF" w14:textId="77777777" w:rsidR="0088574C" w:rsidRPr="0087487B" w:rsidRDefault="0088574C" w:rsidP="00314B37">
            <w:pPr>
              <w:pStyle w:val="NormalWeb"/>
              <w:jc w:val="left"/>
              <w:rPr>
                <w:sz w:val="18"/>
                <w:szCs w:val="18"/>
              </w:rPr>
            </w:pPr>
            <w:r w:rsidRPr="0087487B">
              <w:rPr>
                <w:sz w:val="18"/>
                <w:szCs w:val="18"/>
              </w:rPr>
              <w:t>Treatment failed</w:t>
            </w:r>
          </w:p>
        </w:tc>
        <w:tc>
          <w:tcPr>
            <w:tcW w:w="8623" w:type="dxa"/>
            <w:hideMark/>
          </w:tcPr>
          <w:p w14:paraId="662EAC84" w14:textId="77777777" w:rsidR="0088574C" w:rsidRPr="0087487B" w:rsidRDefault="0088574C" w:rsidP="00314B37">
            <w:pPr>
              <w:pStyle w:val="NormalWeb"/>
              <w:jc w:val="left"/>
              <w:rPr>
                <w:sz w:val="18"/>
                <w:szCs w:val="18"/>
              </w:rPr>
            </w:pPr>
            <w:r w:rsidRPr="0087487B">
              <w:rPr>
                <w:sz w:val="18"/>
                <w:szCs w:val="18"/>
              </w:rPr>
              <w:t xml:space="preserve">A patient whose treatment regimen needed to be </w:t>
            </w:r>
            <w:proofErr w:type="gramStart"/>
            <w:r w:rsidRPr="0087487B">
              <w:rPr>
                <w:sz w:val="18"/>
                <w:szCs w:val="18"/>
              </w:rPr>
              <w:t>terminated</w:t>
            </w:r>
            <w:proofErr w:type="gramEnd"/>
            <w:r w:rsidRPr="0087487B">
              <w:rPr>
                <w:sz w:val="18"/>
                <w:szCs w:val="18"/>
              </w:rPr>
              <w:t xml:space="preserve"> or permanently changed to a new regimen or treatment strategy.</w:t>
            </w:r>
          </w:p>
        </w:tc>
      </w:tr>
      <w:tr w:rsidR="0088574C" w:rsidRPr="0087487B" w14:paraId="1C4C91FD" w14:textId="77777777" w:rsidTr="0088574C">
        <w:trPr>
          <w:cnfStyle w:val="000000010000" w:firstRow="0" w:lastRow="0" w:firstColumn="0" w:lastColumn="0" w:oddVBand="0" w:evenVBand="0" w:oddHBand="0" w:evenHBand="1" w:firstRowFirstColumn="0" w:firstRowLastColumn="0" w:lastRowFirstColumn="0" w:lastRowLastColumn="0"/>
          <w:divId w:val="448665177"/>
        </w:trPr>
        <w:tc>
          <w:tcPr>
            <w:tcW w:w="1843" w:type="dxa"/>
            <w:hideMark/>
          </w:tcPr>
          <w:p w14:paraId="56806D62" w14:textId="77777777" w:rsidR="0088574C" w:rsidRPr="0087487B" w:rsidRDefault="0088574C" w:rsidP="00314B37">
            <w:pPr>
              <w:pStyle w:val="NormalWeb"/>
              <w:jc w:val="left"/>
              <w:rPr>
                <w:sz w:val="18"/>
                <w:szCs w:val="18"/>
              </w:rPr>
            </w:pPr>
            <w:r w:rsidRPr="0087487B">
              <w:rPr>
                <w:sz w:val="18"/>
                <w:szCs w:val="18"/>
              </w:rPr>
              <w:t>Cured</w:t>
            </w:r>
          </w:p>
        </w:tc>
        <w:tc>
          <w:tcPr>
            <w:tcW w:w="8623" w:type="dxa"/>
            <w:hideMark/>
          </w:tcPr>
          <w:p w14:paraId="17F13A0C" w14:textId="77777777" w:rsidR="0088574C" w:rsidRPr="0087487B" w:rsidRDefault="0088574C" w:rsidP="00314B37">
            <w:pPr>
              <w:pStyle w:val="NormalWeb"/>
              <w:jc w:val="left"/>
              <w:rPr>
                <w:sz w:val="18"/>
                <w:szCs w:val="18"/>
              </w:rPr>
            </w:pPr>
            <w:r w:rsidRPr="0087487B">
              <w:rPr>
                <w:sz w:val="18"/>
                <w:szCs w:val="18"/>
              </w:rPr>
              <w:t>A pulmonary TB patient with bacteriologically confirmed TB at the beginning of treatment who completed the recommended treatment with evidence of bacteriological response and no evidence of failure.</w:t>
            </w:r>
          </w:p>
        </w:tc>
      </w:tr>
      <w:tr w:rsidR="0088574C" w:rsidRPr="0087487B" w14:paraId="7795E52F" w14:textId="77777777" w:rsidTr="0088574C">
        <w:trPr>
          <w:divId w:val="448665177"/>
        </w:trPr>
        <w:tc>
          <w:tcPr>
            <w:tcW w:w="1843" w:type="dxa"/>
            <w:hideMark/>
          </w:tcPr>
          <w:p w14:paraId="40895028" w14:textId="77777777" w:rsidR="0088574C" w:rsidRPr="0087487B" w:rsidRDefault="0088574C" w:rsidP="00314B37">
            <w:pPr>
              <w:pStyle w:val="NormalWeb"/>
              <w:jc w:val="left"/>
              <w:rPr>
                <w:sz w:val="18"/>
                <w:szCs w:val="18"/>
              </w:rPr>
            </w:pPr>
            <w:r w:rsidRPr="0087487B">
              <w:rPr>
                <w:sz w:val="18"/>
                <w:szCs w:val="18"/>
              </w:rPr>
              <w:t>Treatment completed</w:t>
            </w:r>
          </w:p>
        </w:tc>
        <w:tc>
          <w:tcPr>
            <w:tcW w:w="8623" w:type="dxa"/>
            <w:hideMark/>
          </w:tcPr>
          <w:p w14:paraId="6ED4DFAD" w14:textId="77777777" w:rsidR="0088574C" w:rsidRPr="0087487B" w:rsidRDefault="0088574C" w:rsidP="00314B37">
            <w:pPr>
              <w:pStyle w:val="NormalWeb"/>
              <w:jc w:val="left"/>
              <w:rPr>
                <w:sz w:val="18"/>
                <w:szCs w:val="18"/>
              </w:rPr>
            </w:pPr>
            <w:r w:rsidRPr="0087487B">
              <w:rPr>
                <w:sz w:val="18"/>
                <w:szCs w:val="18"/>
              </w:rPr>
              <w:t>A patient who completed the recommended treatment but whose outcome does not meet the definition for cure or treatment failure.</w:t>
            </w:r>
          </w:p>
        </w:tc>
      </w:tr>
      <w:tr w:rsidR="0088574C" w:rsidRPr="0087487B" w14:paraId="44B25A1B" w14:textId="77777777" w:rsidTr="0088574C">
        <w:trPr>
          <w:cnfStyle w:val="000000010000" w:firstRow="0" w:lastRow="0" w:firstColumn="0" w:lastColumn="0" w:oddVBand="0" w:evenVBand="0" w:oddHBand="0" w:evenHBand="1" w:firstRowFirstColumn="0" w:firstRowLastColumn="0" w:lastRowFirstColumn="0" w:lastRowLastColumn="0"/>
          <w:divId w:val="448665177"/>
        </w:trPr>
        <w:tc>
          <w:tcPr>
            <w:tcW w:w="1843" w:type="dxa"/>
            <w:hideMark/>
          </w:tcPr>
          <w:p w14:paraId="4C86274C" w14:textId="77777777" w:rsidR="0088574C" w:rsidRPr="0087487B" w:rsidRDefault="0088574C" w:rsidP="00314B37">
            <w:pPr>
              <w:pStyle w:val="NormalWeb"/>
              <w:jc w:val="left"/>
              <w:rPr>
                <w:sz w:val="18"/>
                <w:szCs w:val="18"/>
              </w:rPr>
            </w:pPr>
            <w:r w:rsidRPr="0087487B">
              <w:rPr>
                <w:sz w:val="18"/>
                <w:szCs w:val="18"/>
              </w:rPr>
              <w:t>Treatment success</w:t>
            </w:r>
          </w:p>
        </w:tc>
        <w:tc>
          <w:tcPr>
            <w:tcW w:w="8623" w:type="dxa"/>
            <w:hideMark/>
          </w:tcPr>
          <w:p w14:paraId="519E65C0" w14:textId="77777777" w:rsidR="0088574C" w:rsidRPr="0087487B" w:rsidRDefault="0088574C" w:rsidP="00314B37">
            <w:pPr>
              <w:pStyle w:val="NormalWeb"/>
              <w:jc w:val="left"/>
              <w:rPr>
                <w:sz w:val="18"/>
                <w:szCs w:val="18"/>
              </w:rPr>
            </w:pPr>
            <w:r w:rsidRPr="0087487B">
              <w:rPr>
                <w:sz w:val="18"/>
                <w:szCs w:val="18"/>
              </w:rPr>
              <w:t>The sum of cured and treatment completed.</w:t>
            </w:r>
          </w:p>
        </w:tc>
      </w:tr>
      <w:tr w:rsidR="0088574C" w:rsidRPr="0087487B" w14:paraId="1FEF904E" w14:textId="77777777" w:rsidTr="0088574C">
        <w:trPr>
          <w:divId w:val="448665177"/>
        </w:trPr>
        <w:tc>
          <w:tcPr>
            <w:tcW w:w="1843" w:type="dxa"/>
            <w:hideMark/>
          </w:tcPr>
          <w:p w14:paraId="0937921B" w14:textId="77777777" w:rsidR="0088574C" w:rsidRPr="0087487B" w:rsidRDefault="0088574C" w:rsidP="00314B37">
            <w:pPr>
              <w:pStyle w:val="NormalWeb"/>
              <w:jc w:val="left"/>
              <w:rPr>
                <w:sz w:val="18"/>
                <w:szCs w:val="18"/>
              </w:rPr>
            </w:pPr>
            <w:r w:rsidRPr="0087487B">
              <w:rPr>
                <w:sz w:val="18"/>
                <w:szCs w:val="18"/>
              </w:rPr>
              <w:t>Died</w:t>
            </w:r>
          </w:p>
        </w:tc>
        <w:tc>
          <w:tcPr>
            <w:tcW w:w="8623" w:type="dxa"/>
            <w:hideMark/>
          </w:tcPr>
          <w:p w14:paraId="33ECD68C" w14:textId="77777777" w:rsidR="0088574C" w:rsidRPr="0087487B" w:rsidRDefault="0088574C" w:rsidP="00314B37">
            <w:pPr>
              <w:pStyle w:val="NormalWeb"/>
              <w:jc w:val="left"/>
              <w:rPr>
                <w:sz w:val="18"/>
                <w:szCs w:val="18"/>
              </w:rPr>
            </w:pPr>
            <w:r w:rsidRPr="0087487B">
              <w:rPr>
                <w:sz w:val="18"/>
                <w:szCs w:val="18"/>
              </w:rPr>
              <w:t xml:space="preserve">A patient who died before starting treatment or </w:t>
            </w:r>
            <w:proofErr w:type="gramStart"/>
            <w:r w:rsidRPr="0087487B">
              <w:rPr>
                <w:sz w:val="18"/>
                <w:szCs w:val="18"/>
              </w:rPr>
              <w:t>during the course of</w:t>
            </w:r>
            <w:proofErr w:type="gramEnd"/>
            <w:r w:rsidRPr="0087487B">
              <w:rPr>
                <w:sz w:val="18"/>
                <w:szCs w:val="18"/>
              </w:rPr>
              <w:t xml:space="preserve"> treatment.</w:t>
            </w:r>
          </w:p>
        </w:tc>
      </w:tr>
      <w:tr w:rsidR="0088574C" w:rsidRPr="0087487B" w14:paraId="0475EA9D" w14:textId="77777777" w:rsidTr="0088574C">
        <w:trPr>
          <w:cnfStyle w:val="000000010000" w:firstRow="0" w:lastRow="0" w:firstColumn="0" w:lastColumn="0" w:oddVBand="0" w:evenVBand="0" w:oddHBand="0" w:evenHBand="1" w:firstRowFirstColumn="0" w:firstRowLastColumn="0" w:lastRowFirstColumn="0" w:lastRowLastColumn="0"/>
          <w:divId w:val="448665177"/>
        </w:trPr>
        <w:tc>
          <w:tcPr>
            <w:tcW w:w="1843" w:type="dxa"/>
            <w:hideMark/>
          </w:tcPr>
          <w:p w14:paraId="447FB2D6" w14:textId="77777777" w:rsidR="0088574C" w:rsidRPr="0087487B" w:rsidRDefault="0088574C" w:rsidP="00314B37">
            <w:pPr>
              <w:pStyle w:val="NormalWeb"/>
              <w:jc w:val="left"/>
              <w:rPr>
                <w:sz w:val="18"/>
                <w:szCs w:val="18"/>
              </w:rPr>
            </w:pPr>
            <w:r w:rsidRPr="0087487B">
              <w:rPr>
                <w:sz w:val="18"/>
                <w:szCs w:val="18"/>
              </w:rPr>
              <w:t>Lost to follow-up</w:t>
            </w:r>
          </w:p>
        </w:tc>
        <w:tc>
          <w:tcPr>
            <w:tcW w:w="8623" w:type="dxa"/>
            <w:hideMark/>
          </w:tcPr>
          <w:p w14:paraId="71FCA5EA" w14:textId="77777777" w:rsidR="0088574C" w:rsidRPr="0087487B" w:rsidRDefault="0088574C" w:rsidP="00314B37">
            <w:pPr>
              <w:pStyle w:val="NormalWeb"/>
              <w:jc w:val="left"/>
              <w:rPr>
                <w:sz w:val="18"/>
                <w:szCs w:val="18"/>
              </w:rPr>
            </w:pPr>
            <w:r w:rsidRPr="0087487B">
              <w:rPr>
                <w:sz w:val="18"/>
                <w:szCs w:val="18"/>
              </w:rPr>
              <w:t xml:space="preserve">A patient who did not start treatment or whose treatment was interrupted for </w:t>
            </w:r>
            <w:proofErr w:type="gramStart"/>
            <w:r w:rsidRPr="0087487B">
              <w:rPr>
                <w:sz w:val="18"/>
                <w:szCs w:val="18"/>
              </w:rPr>
              <w:t>2</w:t>
            </w:r>
            <w:proofErr w:type="gramEnd"/>
            <w:r w:rsidRPr="0087487B">
              <w:rPr>
                <w:sz w:val="18"/>
                <w:szCs w:val="18"/>
              </w:rPr>
              <w:t xml:space="preserve"> consecutive months or more.</w:t>
            </w:r>
          </w:p>
        </w:tc>
      </w:tr>
      <w:tr w:rsidR="0088574C" w:rsidRPr="0087487B" w14:paraId="69D0C6C8" w14:textId="77777777" w:rsidTr="0088574C">
        <w:trPr>
          <w:divId w:val="448665177"/>
        </w:trPr>
        <w:tc>
          <w:tcPr>
            <w:tcW w:w="1843" w:type="dxa"/>
            <w:tcBorders>
              <w:bottom w:val="single" w:sz="4" w:space="0" w:color="808080" w:themeColor="background1" w:themeShade="80"/>
            </w:tcBorders>
            <w:hideMark/>
          </w:tcPr>
          <w:p w14:paraId="3AB62C07" w14:textId="77777777" w:rsidR="0088574C" w:rsidRPr="0087487B" w:rsidRDefault="0088574C" w:rsidP="00314B37">
            <w:pPr>
              <w:pStyle w:val="NormalWeb"/>
              <w:jc w:val="left"/>
              <w:rPr>
                <w:sz w:val="18"/>
                <w:szCs w:val="18"/>
              </w:rPr>
            </w:pPr>
            <w:r w:rsidRPr="0087487B">
              <w:rPr>
                <w:sz w:val="18"/>
                <w:szCs w:val="18"/>
              </w:rPr>
              <w:t>Not evaluated</w:t>
            </w:r>
          </w:p>
        </w:tc>
        <w:tc>
          <w:tcPr>
            <w:tcW w:w="8623" w:type="dxa"/>
            <w:tcBorders>
              <w:bottom w:val="single" w:sz="4" w:space="0" w:color="808080" w:themeColor="background1" w:themeShade="80"/>
            </w:tcBorders>
            <w:hideMark/>
          </w:tcPr>
          <w:p w14:paraId="79C3DBB6" w14:textId="77777777" w:rsidR="0088574C" w:rsidRPr="0087487B" w:rsidRDefault="0088574C" w:rsidP="00314B37">
            <w:pPr>
              <w:pStyle w:val="NormalWeb"/>
              <w:jc w:val="left"/>
              <w:rPr>
                <w:sz w:val="18"/>
                <w:szCs w:val="18"/>
              </w:rPr>
            </w:pPr>
            <w:r w:rsidRPr="0087487B">
              <w:rPr>
                <w:sz w:val="18"/>
                <w:szCs w:val="18"/>
              </w:rPr>
              <w:t xml:space="preserve">A patient for whom no treatment outcome </w:t>
            </w:r>
            <w:proofErr w:type="gramStart"/>
            <w:r w:rsidRPr="0087487B">
              <w:rPr>
                <w:sz w:val="18"/>
                <w:szCs w:val="18"/>
              </w:rPr>
              <w:t>was assigned</w:t>
            </w:r>
            <w:proofErr w:type="gramEnd"/>
            <w:r w:rsidRPr="0087487B">
              <w:rPr>
                <w:sz w:val="18"/>
                <w:szCs w:val="18"/>
              </w:rPr>
              <w:t>.</w:t>
            </w:r>
          </w:p>
        </w:tc>
      </w:tr>
    </w:tbl>
    <w:p w14:paraId="522558D8" w14:textId="23D43B9A" w:rsidR="00F605B4" w:rsidRPr="0087487B" w:rsidRDefault="00F605B4" w:rsidP="005F4547">
      <w:pPr>
        <w:pStyle w:val="Heading3"/>
        <w:divId w:val="448665177"/>
      </w:pPr>
      <w:r w:rsidRPr="0087487B">
        <w:t xml:space="preserve">Drug procurement </w:t>
      </w:r>
    </w:p>
    <w:p w14:paraId="7DCE4A61" w14:textId="77777777" w:rsidR="00F605B4" w:rsidRPr="0087487B" w:rsidRDefault="00F605B4" w:rsidP="005F4547">
      <w:pPr>
        <w:divId w:val="448665177"/>
      </w:pPr>
      <w:r w:rsidRPr="0087487B">
        <w:t xml:space="preserve">Most drugs used for treating MDR-TB are not registered with the Therapeutic Goods Administration (TGA) or listed for this </w:t>
      </w:r>
      <w:proofErr w:type="gramStart"/>
      <w:r w:rsidRPr="0087487B">
        <w:t>indication</w:t>
      </w:r>
      <w:proofErr w:type="gramEnd"/>
      <w:r w:rsidRPr="0087487B">
        <w:t xml:space="preserve"> on the Pharmaceutical Benefits Scheme. Some repurposed drugs, such as linezolid, </w:t>
      </w:r>
      <w:proofErr w:type="gramStart"/>
      <w:r w:rsidRPr="0087487B">
        <w:t>are listed</w:t>
      </w:r>
      <w:proofErr w:type="gramEnd"/>
      <w:r w:rsidRPr="0087487B">
        <w:t xml:space="preserve"> for other indications. TB programs and practitioners typically access these medications through use of the TGA Special Access Scheme. Regimens involving medications available for use internationally can be difficult to access in Australia, which at this time include </w:t>
      </w:r>
      <w:proofErr w:type="spellStart"/>
      <w:r w:rsidRPr="0087487B">
        <w:t>pretomanid</w:t>
      </w:r>
      <w:proofErr w:type="spellEnd"/>
      <w:r w:rsidRPr="0087487B">
        <w:t xml:space="preserve"> and </w:t>
      </w:r>
      <w:proofErr w:type="spellStart"/>
      <w:r w:rsidRPr="0087487B">
        <w:t>delamanid</w:t>
      </w:r>
      <w:proofErr w:type="spellEnd"/>
      <w:r w:rsidRPr="0087487B">
        <w:t xml:space="preserve">, as well as paediatric formulations of many MDR-TB medications. As effective and shorter course regimens are developed and become established internationally, it is critical that reliable pathways for access be </w:t>
      </w:r>
      <w:proofErr w:type="gramStart"/>
      <w:r w:rsidRPr="0087487B">
        <w:t>established</w:t>
      </w:r>
      <w:proofErr w:type="gramEnd"/>
      <w:r w:rsidRPr="0087487B">
        <w:t xml:space="preserve"> and supported across Australia. </w:t>
      </w:r>
    </w:p>
    <w:p w14:paraId="3E402A8A" w14:textId="77777777" w:rsidR="00DD3A24" w:rsidRPr="0087487B" w:rsidRDefault="00DD3A24">
      <w:pPr>
        <w:rPr>
          <w:rFonts w:asciiTheme="majorHAnsi" w:eastAsiaTheme="majorEastAsia" w:hAnsiTheme="majorHAnsi" w:cstheme="majorBidi"/>
          <w:b/>
          <w:bCs/>
        </w:rPr>
      </w:pPr>
      <w:r w:rsidRPr="0087487B">
        <w:br w:type="page"/>
      </w:r>
    </w:p>
    <w:p w14:paraId="6E086B5D" w14:textId="2B5385C9" w:rsidR="00F605B4" w:rsidRPr="0087487B" w:rsidRDefault="00F605B4" w:rsidP="005F4547">
      <w:pPr>
        <w:pStyle w:val="Heading3"/>
        <w:divId w:val="448665177"/>
      </w:pPr>
      <w:r w:rsidRPr="0087487B">
        <w:lastRenderedPageBreak/>
        <w:t xml:space="preserve">Networking </w:t>
      </w:r>
    </w:p>
    <w:p w14:paraId="540BC000" w14:textId="77777777" w:rsidR="00F605B4" w:rsidRPr="0087487B" w:rsidRDefault="00F605B4" w:rsidP="005F4547">
      <w:pPr>
        <w:divId w:val="448665177"/>
      </w:pPr>
      <w:r w:rsidRPr="0087487B">
        <w:t>In a low incidence setting such as Australia, overall case numbers for MDR-TB are low. As such, even those with TB expertise may have limited exposure to the care of MDR-TB, particularly to the more problematic cases (</w:t>
      </w:r>
      <w:proofErr w:type="gramStart"/>
      <w:r w:rsidRPr="0087487B">
        <w:t>e.g.</w:t>
      </w:r>
      <w:proofErr w:type="gramEnd"/>
      <w:r w:rsidRPr="0087487B">
        <w:t xml:space="preserve"> severe XDR-TB). State-based TB reference groups provide an important multidisciplinary forum to discuss and advise on MDR-TB treatment plans, but strengthening connections nationally and with global TB networks would support </w:t>
      </w:r>
      <w:proofErr w:type="gramStart"/>
      <w:r w:rsidRPr="0087487B">
        <w:t>optimal</w:t>
      </w:r>
      <w:proofErr w:type="gramEnd"/>
      <w:r w:rsidRPr="0087487B">
        <w:t xml:space="preserve"> clinical care in our low incidence setting. </w:t>
      </w:r>
    </w:p>
    <w:p w14:paraId="61D1AB85" w14:textId="77777777" w:rsidR="00F605B4" w:rsidRPr="0087487B" w:rsidRDefault="00F605B4" w:rsidP="00A97D67">
      <w:pPr>
        <w:pStyle w:val="Heading1"/>
        <w:divId w:val="448665177"/>
      </w:pPr>
      <w:r w:rsidRPr="0087487B">
        <w:t xml:space="preserve">References </w:t>
      </w:r>
    </w:p>
    <w:p w14:paraId="43AE0042"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World Health Organization (WHO) Global Tuberculosis Programme. </w:t>
      </w:r>
      <w:r w:rsidRPr="0087487B">
        <w:rPr>
          <w:rStyle w:val="Emphasis"/>
          <w:rFonts w:eastAsia="Times New Roman"/>
          <w:b w:val="0"/>
          <w:bCs w:val="0"/>
        </w:rPr>
        <w:t xml:space="preserve">WHO </w:t>
      </w:r>
      <w:proofErr w:type="gramStart"/>
      <w:r w:rsidRPr="0087487B">
        <w:rPr>
          <w:rStyle w:val="Emphasis"/>
          <w:rFonts w:eastAsia="Times New Roman"/>
          <w:b w:val="0"/>
          <w:bCs w:val="0"/>
        </w:rPr>
        <w:t>consolidated</w:t>
      </w:r>
      <w:proofErr w:type="gramEnd"/>
      <w:r w:rsidRPr="0087487B">
        <w:rPr>
          <w:rStyle w:val="Emphasis"/>
          <w:rFonts w:eastAsia="Times New Roman"/>
          <w:b w:val="0"/>
          <w:bCs w:val="0"/>
        </w:rPr>
        <w:t xml:space="preserve"> guidelines on tuberculosis: module 4: treatment: drug-resistant tuberculosis treatment, 2022 update</w:t>
      </w:r>
      <w:r w:rsidRPr="0087487B">
        <w:rPr>
          <w:rFonts w:eastAsia="Times New Roman"/>
        </w:rPr>
        <w:t xml:space="preserve">. Geneva: WHO; 15 December 2022. Available from: https://www.who.int/publications/i/item/9789240063129. </w:t>
      </w:r>
    </w:p>
    <w:p w14:paraId="054CAFE2"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Global Tuberculosis Programme. </w:t>
      </w:r>
      <w:r w:rsidRPr="0087487B">
        <w:rPr>
          <w:rStyle w:val="Emphasis"/>
          <w:rFonts w:eastAsia="Times New Roman"/>
          <w:b w:val="0"/>
          <w:bCs w:val="0"/>
        </w:rPr>
        <w:t>Rapid Communication: key changes to the treatment of drug-resistant tuberculosis</w:t>
      </w:r>
      <w:r w:rsidRPr="0087487B">
        <w:rPr>
          <w:rFonts w:eastAsia="Times New Roman"/>
        </w:rPr>
        <w:t xml:space="preserve">. Geneva: WHO; 2 May 2022. Available from: https://www.who.int/publications/i/item/WHO-UCN-TB-2022-2. </w:t>
      </w:r>
    </w:p>
    <w:p w14:paraId="6A0424A6"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Global Tuberculosis Programme. </w:t>
      </w:r>
      <w:r w:rsidRPr="0087487B">
        <w:rPr>
          <w:rStyle w:val="Emphasis"/>
          <w:rFonts w:eastAsia="Times New Roman"/>
          <w:b w:val="0"/>
          <w:bCs w:val="0"/>
        </w:rPr>
        <w:t xml:space="preserve">WHO </w:t>
      </w:r>
      <w:proofErr w:type="gramStart"/>
      <w:r w:rsidRPr="0087487B">
        <w:rPr>
          <w:rStyle w:val="Emphasis"/>
          <w:rFonts w:eastAsia="Times New Roman"/>
          <w:b w:val="0"/>
          <w:bCs w:val="0"/>
        </w:rPr>
        <w:t>consolidated</w:t>
      </w:r>
      <w:proofErr w:type="gramEnd"/>
      <w:r w:rsidRPr="0087487B">
        <w:rPr>
          <w:rStyle w:val="Emphasis"/>
          <w:rFonts w:eastAsia="Times New Roman"/>
          <w:b w:val="0"/>
          <w:bCs w:val="0"/>
        </w:rPr>
        <w:t xml:space="preserve"> guidelines on tuberculosis: module 4: treatment: drug-resistant tuberculosis treatment</w:t>
      </w:r>
      <w:r w:rsidRPr="0087487B">
        <w:rPr>
          <w:rFonts w:eastAsia="Times New Roman"/>
        </w:rPr>
        <w:t xml:space="preserve">. Geneva: WHO; 15 June 2020. Available from: https://www.who.int/publications/i/item/9789240007048. </w:t>
      </w:r>
    </w:p>
    <w:p w14:paraId="3BFEF34F"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w:t>
      </w:r>
      <w:r w:rsidRPr="0087487B">
        <w:rPr>
          <w:rStyle w:val="Emphasis"/>
          <w:rFonts w:eastAsia="Times New Roman"/>
          <w:b w:val="0"/>
          <w:bCs w:val="0"/>
        </w:rPr>
        <w:t xml:space="preserve">WHO </w:t>
      </w:r>
      <w:proofErr w:type="gramStart"/>
      <w:r w:rsidRPr="0087487B">
        <w:rPr>
          <w:rStyle w:val="Emphasis"/>
          <w:rFonts w:eastAsia="Times New Roman"/>
          <w:b w:val="0"/>
          <w:bCs w:val="0"/>
        </w:rPr>
        <w:t>consolidated</w:t>
      </w:r>
      <w:proofErr w:type="gramEnd"/>
      <w:r w:rsidRPr="0087487B">
        <w:rPr>
          <w:rStyle w:val="Emphasis"/>
          <w:rFonts w:eastAsia="Times New Roman"/>
          <w:b w:val="0"/>
          <w:bCs w:val="0"/>
        </w:rPr>
        <w:t xml:space="preserve"> guidelines on drug-resistant tuberculosis treatment</w:t>
      </w:r>
      <w:r w:rsidRPr="0087487B">
        <w:rPr>
          <w:rFonts w:eastAsia="Times New Roman"/>
        </w:rPr>
        <w:t xml:space="preserve">. Geneva: WHO; 2019. Available from: https://apps.who.int/iris/handle/10665/311389. </w:t>
      </w:r>
    </w:p>
    <w:p w14:paraId="3EC8F2F8"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Nahid P, Mase SR, </w:t>
      </w:r>
      <w:proofErr w:type="spellStart"/>
      <w:r w:rsidRPr="0087487B">
        <w:rPr>
          <w:rFonts w:eastAsia="Times New Roman"/>
        </w:rPr>
        <w:t>Migliori</w:t>
      </w:r>
      <w:proofErr w:type="spellEnd"/>
      <w:r w:rsidRPr="0087487B">
        <w:rPr>
          <w:rFonts w:eastAsia="Times New Roman"/>
        </w:rPr>
        <w:t xml:space="preserve"> GB, </w:t>
      </w:r>
      <w:proofErr w:type="spellStart"/>
      <w:r w:rsidRPr="0087487B">
        <w:rPr>
          <w:rFonts w:eastAsia="Times New Roman"/>
        </w:rPr>
        <w:t>Sotgiu</w:t>
      </w:r>
      <w:proofErr w:type="spellEnd"/>
      <w:r w:rsidRPr="0087487B">
        <w:rPr>
          <w:rFonts w:eastAsia="Times New Roman"/>
        </w:rPr>
        <w:t xml:space="preserve"> G, </w:t>
      </w:r>
      <w:proofErr w:type="spellStart"/>
      <w:r w:rsidRPr="0087487B">
        <w:rPr>
          <w:rFonts w:eastAsia="Times New Roman"/>
        </w:rPr>
        <w:t>Bothamley</w:t>
      </w:r>
      <w:proofErr w:type="spellEnd"/>
      <w:r w:rsidRPr="0087487B">
        <w:rPr>
          <w:rFonts w:eastAsia="Times New Roman"/>
        </w:rPr>
        <w:t xml:space="preserve"> GH, </w:t>
      </w:r>
      <w:proofErr w:type="spellStart"/>
      <w:r w:rsidRPr="0087487B">
        <w:rPr>
          <w:rFonts w:eastAsia="Times New Roman"/>
        </w:rPr>
        <w:t>Brozek</w:t>
      </w:r>
      <w:proofErr w:type="spellEnd"/>
      <w:r w:rsidRPr="0087487B">
        <w:rPr>
          <w:rFonts w:eastAsia="Times New Roman"/>
        </w:rPr>
        <w:t xml:space="preserve"> JL et al. Treatment of drug-resistant tuberculosis. An official ATS/CDC/ERS/IDSA clinical practice guideline. </w:t>
      </w:r>
      <w:r w:rsidRPr="0087487B">
        <w:rPr>
          <w:rStyle w:val="Emphasis"/>
          <w:rFonts w:eastAsia="Times New Roman"/>
          <w:b w:val="0"/>
          <w:bCs w:val="0"/>
        </w:rPr>
        <w:t>Am J Respir Crit Care Med</w:t>
      </w:r>
      <w:r w:rsidRPr="0087487B">
        <w:rPr>
          <w:rFonts w:eastAsia="Times New Roman"/>
        </w:rPr>
        <w:t>. 2019;200(10</w:t>
      </w:r>
      <w:proofErr w:type="gramStart"/>
      <w:r w:rsidRPr="0087487B">
        <w:rPr>
          <w:rFonts w:eastAsia="Times New Roman"/>
        </w:rPr>
        <w:t>):e</w:t>
      </w:r>
      <w:proofErr w:type="gramEnd"/>
      <w:r w:rsidRPr="0087487B">
        <w:rPr>
          <w:rFonts w:eastAsia="Times New Roman"/>
        </w:rPr>
        <w:t xml:space="preserve">93–142. </w:t>
      </w:r>
      <w:proofErr w:type="spellStart"/>
      <w:r w:rsidRPr="0087487B">
        <w:rPr>
          <w:rFonts w:eastAsia="Times New Roman"/>
        </w:rPr>
        <w:t>doi</w:t>
      </w:r>
      <w:proofErr w:type="spellEnd"/>
      <w:r w:rsidRPr="0087487B">
        <w:rPr>
          <w:rFonts w:eastAsia="Times New Roman"/>
        </w:rPr>
        <w:t xml:space="preserve">: https://doi.org/10.1164/rccm.201909-1874ST. </w:t>
      </w:r>
    </w:p>
    <w:p w14:paraId="3E1DE2B2"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Global Tuberculosis Programme. </w:t>
      </w:r>
      <w:r w:rsidRPr="0087487B">
        <w:rPr>
          <w:rStyle w:val="Emphasis"/>
          <w:rFonts w:eastAsia="Times New Roman"/>
          <w:b w:val="0"/>
          <w:bCs w:val="0"/>
        </w:rPr>
        <w:t xml:space="preserve">WHO </w:t>
      </w:r>
      <w:proofErr w:type="gramStart"/>
      <w:r w:rsidRPr="0087487B">
        <w:rPr>
          <w:rStyle w:val="Emphasis"/>
          <w:rFonts w:eastAsia="Times New Roman"/>
          <w:b w:val="0"/>
          <w:bCs w:val="0"/>
        </w:rPr>
        <w:t>consolidated</w:t>
      </w:r>
      <w:proofErr w:type="gramEnd"/>
      <w:r w:rsidRPr="0087487B">
        <w:rPr>
          <w:rStyle w:val="Emphasis"/>
          <w:rFonts w:eastAsia="Times New Roman"/>
          <w:b w:val="0"/>
          <w:bCs w:val="0"/>
        </w:rPr>
        <w:t xml:space="preserve"> guidelines on tuberculosis: module 5: management of tuberculosis in children and adolescents</w:t>
      </w:r>
      <w:r w:rsidRPr="0087487B">
        <w:rPr>
          <w:rFonts w:eastAsia="Times New Roman"/>
        </w:rPr>
        <w:t xml:space="preserve">. Geneva: WHO; 18 March 2022. Available from: https://www.who.int/publications/i/item/9789240046764. </w:t>
      </w:r>
    </w:p>
    <w:p w14:paraId="1B8E8EE6"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The Sentinel Project on </w:t>
      </w:r>
      <w:proofErr w:type="spellStart"/>
      <w:r w:rsidRPr="0087487B">
        <w:rPr>
          <w:rFonts w:eastAsia="Times New Roman"/>
        </w:rPr>
        <w:t>Pediatric</w:t>
      </w:r>
      <w:proofErr w:type="spellEnd"/>
      <w:r w:rsidRPr="0087487B">
        <w:rPr>
          <w:rFonts w:eastAsia="Times New Roman"/>
        </w:rPr>
        <w:t xml:space="preserve"> Drug-Resistant Tuberculosis. </w:t>
      </w:r>
      <w:r w:rsidRPr="0087487B">
        <w:rPr>
          <w:rStyle w:val="Emphasis"/>
          <w:rFonts w:eastAsia="Times New Roman"/>
          <w:b w:val="0"/>
          <w:bCs w:val="0"/>
        </w:rPr>
        <w:t>Management of Drug-Resistant Tuberculosis in Children: A Field Guide. November 2021, Fifth edition</w:t>
      </w:r>
      <w:r w:rsidRPr="0087487B">
        <w:rPr>
          <w:rFonts w:eastAsia="Times New Roman"/>
        </w:rPr>
        <w:t xml:space="preserve">. Boston: The Sentinel Project on </w:t>
      </w:r>
      <w:proofErr w:type="spellStart"/>
      <w:r w:rsidRPr="0087487B">
        <w:rPr>
          <w:rFonts w:eastAsia="Times New Roman"/>
        </w:rPr>
        <w:t>Pediatric</w:t>
      </w:r>
      <w:proofErr w:type="spellEnd"/>
      <w:r w:rsidRPr="0087487B">
        <w:rPr>
          <w:rFonts w:eastAsia="Times New Roman"/>
        </w:rPr>
        <w:t xml:space="preserve"> Drug-Resistant Tuberculosis; November 2021. Available from: http://sentinel-project.org/wp-content/uploads/2022/03/DRTB-Field-Guide-2021_v5.pdf. </w:t>
      </w:r>
    </w:p>
    <w:p w14:paraId="470CC4ED" w14:textId="77777777" w:rsidR="00F605B4" w:rsidRPr="0087487B" w:rsidRDefault="00F605B4" w:rsidP="00934C63">
      <w:pPr>
        <w:pStyle w:val="ListParagraph"/>
        <w:numPr>
          <w:ilvl w:val="0"/>
          <w:numId w:val="28"/>
        </w:numPr>
        <w:divId w:val="448665177"/>
        <w:rPr>
          <w:rFonts w:eastAsia="Times New Roman"/>
        </w:rPr>
      </w:pPr>
      <w:proofErr w:type="spellStart"/>
      <w:r w:rsidRPr="0087487B">
        <w:rPr>
          <w:rFonts w:eastAsia="Times New Roman"/>
        </w:rPr>
        <w:t>Brode</w:t>
      </w:r>
      <w:proofErr w:type="spellEnd"/>
      <w:r w:rsidRPr="0087487B">
        <w:rPr>
          <w:rFonts w:eastAsia="Times New Roman"/>
        </w:rPr>
        <w:t xml:space="preserve"> SK, </w:t>
      </w:r>
      <w:proofErr w:type="spellStart"/>
      <w:r w:rsidRPr="0087487B">
        <w:rPr>
          <w:rFonts w:eastAsia="Times New Roman"/>
        </w:rPr>
        <w:t>Dwilow</w:t>
      </w:r>
      <w:proofErr w:type="spellEnd"/>
      <w:r w:rsidRPr="0087487B">
        <w:rPr>
          <w:rFonts w:eastAsia="Times New Roman"/>
        </w:rPr>
        <w:t xml:space="preserve"> R, </w:t>
      </w:r>
      <w:proofErr w:type="spellStart"/>
      <w:r w:rsidRPr="0087487B">
        <w:rPr>
          <w:rFonts w:eastAsia="Times New Roman"/>
        </w:rPr>
        <w:t>Kunimoto</w:t>
      </w:r>
      <w:proofErr w:type="spellEnd"/>
      <w:r w:rsidRPr="0087487B">
        <w:rPr>
          <w:rFonts w:eastAsia="Times New Roman"/>
        </w:rPr>
        <w:t xml:space="preserve"> D, Menzies D, Khan FA. Canadian Tuberculosis Standards – 8th Edition, Chapter 8: Drug-resistant tuberculosis. </w:t>
      </w:r>
      <w:r w:rsidRPr="0087487B">
        <w:rPr>
          <w:rStyle w:val="Emphasis"/>
          <w:rFonts w:eastAsia="Times New Roman"/>
          <w:b w:val="0"/>
          <w:bCs w:val="0"/>
        </w:rPr>
        <w:t>Can J Respir</w:t>
      </w:r>
      <w:r w:rsidRPr="0087487B">
        <w:rPr>
          <w:rFonts w:eastAsia="Times New Roman"/>
        </w:rPr>
        <w:t xml:space="preserve">. 2022;6(Suppl 1):109–128. </w:t>
      </w:r>
      <w:proofErr w:type="spellStart"/>
      <w:r w:rsidRPr="0087487B">
        <w:rPr>
          <w:rFonts w:eastAsia="Times New Roman"/>
        </w:rPr>
        <w:t>doi</w:t>
      </w:r>
      <w:proofErr w:type="spellEnd"/>
      <w:r w:rsidRPr="0087487B">
        <w:rPr>
          <w:rFonts w:eastAsia="Times New Roman"/>
        </w:rPr>
        <w:t xml:space="preserve">: https://doi.org/10.1080/24745332.2022.2039499. </w:t>
      </w:r>
    </w:p>
    <w:p w14:paraId="4FEB9ADA" w14:textId="77777777" w:rsidR="00F605B4" w:rsidRPr="0087487B" w:rsidRDefault="00F605B4" w:rsidP="00934C63">
      <w:pPr>
        <w:pStyle w:val="ListParagraph"/>
        <w:numPr>
          <w:ilvl w:val="0"/>
          <w:numId w:val="28"/>
        </w:numPr>
        <w:divId w:val="448665177"/>
        <w:rPr>
          <w:rFonts w:eastAsia="Times New Roman"/>
        </w:rPr>
      </w:pPr>
      <w:proofErr w:type="spellStart"/>
      <w:r w:rsidRPr="0087487B">
        <w:rPr>
          <w:rFonts w:eastAsia="Times New Roman"/>
        </w:rPr>
        <w:t>Nyang’wa</w:t>
      </w:r>
      <w:proofErr w:type="spellEnd"/>
      <w:r w:rsidRPr="0087487B">
        <w:rPr>
          <w:rFonts w:eastAsia="Times New Roman"/>
        </w:rPr>
        <w:t xml:space="preserve"> BT, Berry C, </w:t>
      </w:r>
      <w:proofErr w:type="spellStart"/>
      <w:r w:rsidRPr="0087487B">
        <w:rPr>
          <w:rFonts w:eastAsia="Times New Roman"/>
        </w:rPr>
        <w:t>Kazounis</w:t>
      </w:r>
      <w:proofErr w:type="spellEnd"/>
      <w:r w:rsidRPr="0087487B">
        <w:rPr>
          <w:rFonts w:eastAsia="Times New Roman"/>
        </w:rPr>
        <w:t xml:space="preserve"> E, Motta I, </w:t>
      </w:r>
      <w:proofErr w:type="spellStart"/>
      <w:r w:rsidRPr="0087487B">
        <w:rPr>
          <w:rFonts w:eastAsia="Times New Roman"/>
        </w:rPr>
        <w:t>Parpieva</w:t>
      </w:r>
      <w:proofErr w:type="spellEnd"/>
      <w:r w:rsidRPr="0087487B">
        <w:rPr>
          <w:rFonts w:eastAsia="Times New Roman"/>
        </w:rPr>
        <w:t xml:space="preserve"> N, </w:t>
      </w:r>
      <w:proofErr w:type="spellStart"/>
      <w:r w:rsidRPr="0087487B">
        <w:rPr>
          <w:rFonts w:eastAsia="Times New Roman"/>
        </w:rPr>
        <w:t>Tigay</w:t>
      </w:r>
      <w:proofErr w:type="spellEnd"/>
      <w:r w:rsidRPr="0087487B">
        <w:rPr>
          <w:rFonts w:eastAsia="Times New Roman"/>
        </w:rPr>
        <w:t xml:space="preserve"> Z et al. A 24-week, all-oral regimen for rifampicin-resistant tuberculosis. </w:t>
      </w:r>
      <w:r w:rsidRPr="0087487B">
        <w:rPr>
          <w:rStyle w:val="Emphasis"/>
          <w:rFonts w:eastAsia="Times New Roman"/>
          <w:b w:val="0"/>
          <w:bCs w:val="0"/>
        </w:rPr>
        <w:t xml:space="preserve">N </w:t>
      </w:r>
      <w:proofErr w:type="spellStart"/>
      <w:r w:rsidRPr="0087487B">
        <w:rPr>
          <w:rStyle w:val="Emphasis"/>
          <w:rFonts w:eastAsia="Times New Roman"/>
          <w:b w:val="0"/>
          <w:bCs w:val="0"/>
        </w:rPr>
        <w:t>Engl</w:t>
      </w:r>
      <w:proofErr w:type="spellEnd"/>
      <w:r w:rsidRPr="0087487B">
        <w:rPr>
          <w:rStyle w:val="Emphasis"/>
          <w:rFonts w:eastAsia="Times New Roman"/>
          <w:b w:val="0"/>
          <w:bCs w:val="0"/>
        </w:rPr>
        <w:t xml:space="preserve"> J Med</w:t>
      </w:r>
      <w:r w:rsidRPr="0087487B">
        <w:rPr>
          <w:rFonts w:eastAsia="Times New Roman"/>
        </w:rPr>
        <w:t xml:space="preserve">. 2022;387(25):2331–43. </w:t>
      </w:r>
      <w:proofErr w:type="spellStart"/>
      <w:r w:rsidRPr="0087487B">
        <w:rPr>
          <w:rFonts w:eastAsia="Times New Roman"/>
        </w:rPr>
        <w:t>doi</w:t>
      </w:r>
      <w:proofErr w:type="spellEnd"/>
      <w:r w:rsidRPr="0087487B">
        <w:rPr>
          <w:rFonts w:eastAsia="Times New Roman"/>
        </w:rPr>
        <w:t xml:space="preserve">: https://doi.org/10.1056/NEJMoa2117166. </w:t>
      </w:r>
    </w:p>
    <w:p w14:paraId="1CA08679"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Conradie F, </w:t>
      </w:r>
      <w:proofErr w:type="spellStart"/>
      <w:r w:rsidRPr="0087487B">
        <w:rPr>
          <w:rFonts w:eastAsia="Times New Roman"/>
        </w:rPr>
        <w:t>Diacon</w:t>
      </w:r>
      <w:proofErr w:type="spellEnd"/>
      <w:r w:rsidRPr="0087487B">
        <w:rPr>
          <w:rFonts w:eastAsia="Times New Roman"/>
        </w:rPr>
        <w:t xml:space="preserve"> AH, Ngubane N, Howell P, Everitt D, Crook AM et al. Treatment of highly drug-resistant pulmonary tuberculosis. </w:t>
      </w:r>
      <w:r w:rsidRPr="0087487B">
        <w:rPr>
          <w:rStyle w:val="Emphasis"/>
          <w:rFonts w:eastAsia="Times New Roman"/>
          <w:b w:val="0"/>
          <w:bCs w:val="0"/>
        </w:rPr>
        <w:t xml:space="preserve">N </w:t>
      </w:r>
      <w:proofErr w:type="spellStart"/>
      <w:r w:rsidRPr="0087487B">
        <w:rPr>
          <w:rStyle w:val="Emphasis"/>
          <w:rFonts w:eastAsia="Times New Roman"/>
          <w:b w:val="0"/>
          <w:bCs w:val="0"/>
        </w:rPr>
        <w:t>Engl</w:t>
      </w:r>
      <w:proofErr w:type="spellEnd"/>
      <w:r w:rsidRPr="0087487B">
        <w:rPr>
          <w:rStyle w:val="Emphasis"/>
          <w:rFonts w:eastAsia="Times New Roman"/>
          <w:b w:val="0"/>
          <w:bCs w:val="0"/>
        </w:rPr>
        <w:t xml:space="preserve"> J Med</w:t>
      </w:r>
      <w:r w:rsidRPr="0087487B">
        <w:rPr>
          <w:rFonts w:eastAsia="Times New Roman"/>
        </w:rPr>
        <w:t xml:space="preserve">. 2020;382(10):893–902. </w:t>
      </w:r>
      <w:proofErr w:type="spellStart"/>
      <w:r w:rsidRPr="0087487B">
        <w:rPr>
          <w:rFonts w:eastAsia="Times New Roman"/>
        </w:rPr>
        <w:t>doi</w:t>
      </w:r>
      <w:proofErr w:type="spellEnd"/>
      <w:r w:rsidRPr="0087487B">
        <w:rPr>
          <w:rFonts w:eastAsia="Times New Roman"/>
        </w:rPr>
        <w:t xml:space="preserve">: https://doi.org/10.1056/NEJMoa1901814. </w:t>
      </w:r>
    </w:p>
    <w:p w14:paraId="55538B4D"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Conradie F, </w:t>
      </w:r>
      <w:proofErr w:type="spellStart"/>
      <w:r w:rsidRPr="0087487B">
        <w:rPr>
          <w:rFonts w:eastAsia="Times New Roman"/>
        </w:rPr>
        <w:t>Bagdasaryan</w:t>
      </w:r>
      <w:proofErr w:type="spellEnd"/>
      <w:r w:rsidRPr="0087487B">
        <w:rPr>
          <w:rFonts w:eastAsia="Times New Roman"/>
        </w:rPr>
        <w:t xml:space="preserve"> TR, Borisov S, Howell P, </w:t>
      </w:r>
      <w:proofErr w:type="spellStart"/>
      <w:r w:rsidRPr="0087487B">
        <w:rPr>
          <w:rFonts w:eastAsia="Times New Roman"/>
        </w:rPr>
        <w:t>Mikiashvili</w:t>
      </w:r>
      <w:proofErr w:type="spellEnd"/>
      <w:r w:rsidRPr="0087487B">
        <w:rPr>
          <w:rFonts w:eastAsia="Times New Roman"/>
        </w:rPr>
        <w:t xml:space="preserve"> L, Ngubane N et al. </w:t>
      </w:r>
      <w:proofErr w:type="spellStart"/>
      <w:r w:rsidRPr="0087487B">
        <w:rPr>
          <w:rFonts w:eastAsia="Times New Roman"/>
        </w:rPr>
        <w:t>Bedaquiline</w:t>
      </w:r>
      <w:proofErr w:type="spellEnd"/>
      <w:r w:rsidRPr="0087487B">
        <w:rPr>
          <w:rFonts w:eastAsia="Times New Roman"/>
        </w:rPr>
        <w:t>–</w:t>
      </w:r>
      <w:proofErr w:type="spellStart"/>
      <w:r w:rsidRPr="0087487B">
        <w:rPr>
          <w:rFonts w:eastAsia="Times New Roman"/>
        </w:rPr>
        <w:t>pretomanid</w:t>
      </w:r>
      <w:proofErr w:type="spellEnd"/>
      <w:r w:rsidRPr="0087487B">
        <w:rPr>
          <w:rFonts w:eastAsia="Times New Roman"/>
        </w:rPr>
        <w:t xml:space="preserve">–linezolid regimens for drug-resistant tuberculosis. </w:t>
      </w:r>
      <w:r w:rsidRPr="0087487B">
        <w:rPr>
          <w:rStyle w:val="Emphasis"/>
          <w:rFonts w:eastAsia="Times New Roman"/>
          <w:b w:val="0"/>
          <w:bCs w:val="0"/>
        </w:rPr>
        <w:t xml:space="preserve">N </w:t>
      </w:r>
      <w:proofErr w:type="spellStart"/>
      <w:r w:rsidRPr="0087487B">
        <w:rPr>
          <w:rStyle w:val="Emphasis"/>
          <w:rFonts w:eastAsia="Times New Roman"/>
          <w:b w:val="0"/>
          <w:bCs w:val="0"/>
        </w:rPr>
        <w:t>Engl</w:t>
      </w:r>
      <w:proofErr w:type="spellEnd"/>
      <w:r w:rsidRPr="0087487B">
        <w:rPr>
          <w:rStyle w:val="Emphasis"/>
          <w:rFonts w:eastAsia="Times New Roman"/>
          <w:b w:val="0"/>
          <w:bCs w:val="0"/>
        </w:rPr>
        <w:t xml:space="preserve"> J Med</w:t>
      </w:r>
      <w:r w:rsidRPr="0087487B">
        <w:rPr>
          <w:rFonts w:eastAsia="Times New Roman"/>
        </w:rPr>
        <w:t xml:space="preserve">. 2022;387(9):810–23. </w:t>
      </w:r>
      <w:proofErr w:type="spellStart"/>
      <w:r w:rsidRPr="0087487B">
        <w:rPr>
          <w:rFonts w:eastAsia="Times New Roman"/>
        </w:rPr>
        <w:t>doi</w:t>
      </w:r>
      <w:proofErr w:type="spellEnd"/>
      <w:r w:rsidRPr="0087487B">
        <w:rPr>
          <w:rFonts w:eastAsia="Times New Roman"/>
        </w:rPr>
        <w:t xml:space="preserve">: https://doi.org/10.1056/NEJMoa2119430. </w:t>
      </w:r>
    </w:p>
    <w:p w14:paraId="0113DD6C"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Global Tuberculosis Programme. </w:t>
      </w:r>
      <w:r w:rsidRPr="0087487B">
        <w:rPr>
          <w:rStyle w:val="Emphasis"/>
          <w:rFonts w:eastAsia="Times New Roman"/>
          <w:b w:val="0"/>
          <w:bCs w:val="0"/>
        </w:rPr>
        <w:t>Guidelines for the programmatic management of drug-resistant tuberculosis. Emergency update 2008</w:t>
      </w:r>
      <w:r w:rsidRPr="0087487B">
        <w:rPr>
          <w:rFonts w:eastAsia="Times New Roman"/>
        </w:rPr>
        <w:t xml:space="preserve">. Geneva: WHO; 2008. Available from: https://apps.who.int/iris/handle/10665/43965. </w:t>
      </w:r>
    </w:p>
    <w:p w14:paraId="7222208B"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lastRenderedPageBreak/>
        <w:t xml:space="preserve">WHO Global Tuberculosis Programme. </w:t>
      </w:r>
      <w:r w:rsidRPr="0087487B">
        <w:rPr>
          <w:rStyle w:val="Emphasis"/>
          <w:rFonts w:eastAsia="Times New Roman"/>
          <w:b w:val="0"/>
          <w:bCs w:val="0"/>
        </w:rPr>
        <w:t>Guidelines for the programmatic management of drug-resistant tuberculosis - 2011 update</w:t>
      </w:r>
      <w:r w:rsidRPr="0087487B">
        <w:rPr>
          <w:rFonts w:eastAsia="Times New Roman"/>
        </w:rPr>
        <w:t xml:space="preserve">. Geneva: WHO; 15 February 2011. Available from: https://www.who.int/publications/i/item/9789241501583. </w:t>
      </w:r>
    </w:p>
    <w:p w14:paraId="22476A10"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Global Tuberculosis Programme. </w:t>
      </w:r>
      <w:r w:rsidRPr="0087487B">
        <w:rPr>
          <w:rStyle w:val="Emphasis"/>
          <w:rFonts w:eastAsia="Times New Roman"/>
          <w:b w:val="0"/>
          <w:bCs w:val="0"/>
        </w:rPr>
        <w:t>WHO treatment guidelines for drug-resistant tuberculosis, 2016 update</w:t>
      </w:r>
      <w:r w:rsidRPr="0087487B">
        <w:rPr>
          <w:rFonts w:eastAsia="Times New Roman"/>
        </w:rPr>
        <w:t xml:space="preserve">. Geneva: WHO; 16 September 2016. Available from: https://www.who.int/publications/i/item/9789241549639. </w:t>
      </w:r>
    </w:p>
    <w:p w14:paraId="28BCA6AE"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Global Tuberculosis Programme. </w:t>
      </w:r>
      <w:r w:rsidRPr="0087487B">
        <w:rPr>
          <w:rStyle w:val="Emphasis"/>
          <w:rFonts w:eastAsia="Times New Roman"/>
          <w:b w:val="0"/>
          <w:bCs w:val="0"/>
        </w:rPr>
        <w:t>Meeting report of the WHO expert consultation on the definition of extensively drug-resistant tuberculosis, 27–29 October 2020</w:t>
      </w:r>
      <w:r w:rsidRPr="0087487B">
        <w:rPr>
          <w:rFonts w:eastAsia="Times New Roman"/>
        </w:rPr>
        <w:t xml:space="preserve">. Geneva: WHO; 22 January 2021. Available from: https://www.who.int/publications/i/item/9789240018662. </w:t>
      </w:r>
    </w:p>
    <w:p w14:paraId="685323E5"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Global Tuberculosis Programme. </w:t>
      </w:r>
      <w:r w:rsidRPr="0087487B">
        <w:rPr>
          <w:rStyle w:val="Emphasis"/>
          <w:rFonts w:eastAsia="Times New Roman"/>
          <w:b w:val="0"/>
          <w:bCs w:val="0"/>
        </w:rPr>
        <w:t>Global tuberculosis report 2022</w:t>
      </w:r>
      <w:r w:rsidRPr="0087487B">
        <w:rPr>
          <w:rFonts w:eastAsia="Times New Roman"/>
        </w:rPr>
        <w:t xml:space="preserve">. Geneva: WHO; 27 October 2022. Available from: https://www.who.int/teams/global-tuberculosis-programme/tb-reports/global-tuberculosis-report-2022. </w:t>
      </w:r>
    </w:p>
    <w:p w14:paraId="5894FB5B"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Global Tuberculosis Programme. </w:t>
      </w:r>
      <w:r w:rsidRPr="0087487B">
        <w:rPr>
          <w:rStyle w:val="Emphasis"/>
          <w:rFonts w:eastAsia="Times New Roman"/>
          <w:b w:val="0"/>
          <w:bCs w:val="0"/>
        </w:rPr>
        <w:t>Global tuberculosis report 2020</w:t>
      </w:r>
      <w:r w:rsidRPr="0087487B">
        <w:rPr>
          <w:rFonts w:eastAsia="Times New Roman"/>
        </w:rPr>
        <w:t xml:space="preserve">. Geneva: WHO; 15 October 2020. Available from: https://www.who.int/publications/i/item/9789240013131. </w:t>
      </w:r>
    </w:p>
    <w:p w14:paraId="667BB2DD"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Australian Government Department of Health and Aged Care, National Notifiable Diseases Surveillance System (NNDSS). Tuberculosis notifications, 2019–2022. [Unpublished data.] Canberra: Australian Government Department of Health and Aged Care. [Accessed on 16 June 2023.] </w:t>
      </w:r>
    </w:p>
    <w:p w14:paraId="3289BC33"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Bastian I, Shephard L, </w:t>
      </w:r>
      <w:proofErr w:type="spellStart"/>
      <w:r w:rsidRPr="0087487B">
        <w:rPr>
          <w:rFonts w:eastAsia="Times New Roman"/>
        </w:rPr>
        <w:t>Lumb</w:t>
      </w:r>
      <w:proofErr w:type="spellEnd"/>
      <w:r w:rsidRPr="0087487B">
        <w:rPr>
          <w:rFonts w:eastAsia="Times New Roman"/>
        </w:rPr>
        <w:t xml:space="preserve"> R, National Tuberculosis Advisory Committee. Revised guidelines for Australian laboratories performing mycobacteriology testing. </w:t>
      </w:r>
      <w:proofErr w:type="spellStart"/>
      <w:r w:rsidRPr="0087487B">
        <w:rPr>
          <w:rStyle w:val="Emphasis"/>
          <w:rFonts w:eastAsia="Times New Roman"/>
          <w:b w:val="0"/>
          <w:bCs w:val="0"/>
        </w:rPr>
        <w:t>Commun</w:t>
      </w:r>
      <w:proofErr w:type="spellEnd"/>
      <w:r w:rsidRPr="0087487B">
        <w:rPr>
          <w:rStyle w:val="Emphasis"/>
          <w:rFonts w:eastAsia="Times New Roman"/>
          <w:b w:val="0"/>
          <w:bCs w:val="0"/>
        </w:rPr>
        <w:t xml:space="preserve"> Dis </w:t>
      </w:r>
      <w:proofErr w:type="spellStart"/>
      <w:r w:rsidRPr="0087487B">
        <w:rPr>
          <w:rStyle w:val="Emphasis"/>
          <w:rFonts w:eastAsia="Times New Roman"/>
          <w:b w:val="0"/>
          <w:bCs w:val="0"/>
        </w:rPr>
        <w:t>Intell</w:t>
      </w:r>
      <w:proofErr w:type="spellEnd"/>
      <w:r w:rsidRPr="0087487B">
        <w:rPr>
          <w:rStyle w:val="Emphasis"/>
          <w:rFonts w:eastAsia="Times New Roman"/>
          <w:b w:val="0"/>
          <w:bCs w:val="0"/>
        </w:rPr>
        <w:t xml:space="preserve"> (2018)</w:t>
      </w:r>
      <w:r w:rsidRPr="0087487B">
        <w:rPr>
          <w:rFonts w:eastAsia="Times New Roman"/>
        </w:rPr>
        <w:t>. 2020;</w:t>
      </w:r>
      <w:proofErr w:type="gramStart"/>
      <w:r w:rsidRPr="0087487B">
        <w:rPr>
          <w:rFonts w:eastAsia="Times New Roman"/>
        </w:rPr>
        <w:t>44</w:t>
      </w:r>
      <w:proofErr w:type="gramEnd"/>
      <w:r w:rsidRPr="0087487B">
        <w:rPr>
          <w:rFonts w:eastAsia="Times New Roman"/>
        </w:rPr>
        <w:t xml:space="preserve">. </w:t>
      </w:r>
      <w:proofErr w:type="spellStart"/>
      <w:r w:rsidRPr="0087487B">
        <w:rPr>
          <w:rFonts w:eastAsia="Times New Roman"/>
        </w:rPr>
        <w:t>doi</w:t>
      </w:r>
      <w:proofErr w:type="spellEnd"/>
      <w:r w:rsidRPr="0087487B">
        <w:rPr>
          <w:rFonts w:eastAsia="Times New Roman"/>
        </w:rPr>
        <w:t xml:space="preserve">: https://doi.org/10.33321/cdi.2020.44.2. </w:t>
      </w:r>
    </w:p>
    <w:p w14:paraId="6905CA4A"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van der Werf MJ, Hollo V, </w:t>
      </w:r>
      <w:proofErr w:type="spellStart"/>
      <w:r w:rsidRPr="0087487B">
        <w:rPr>
          <w:rFonts w:eastAsia="Times New Roman"/>
        </w:rPr>
        <w:t>Ködmön</w:t>
      </w:r>
      <w:proofErr w:type="spellEnd"/>
      <w:r w:rsidRPr="0087487B">
        <w:rPr>
          <w:rFonts w:eastAsia="Times New Roman"/>
        </w:rPr>
        <w:t xml:space="preserve"> C, Dara M, Catchpole M. Eligibility for shorter treatment of multidrug-resistant tuberculosis in the European Union. </w:t>
      </w:r>
      <w:proofErr w:type="spellStart"/>
      <w:r w:rsidRPr="0087487B">
        <w:rPr>
          <w:rStyle w:val="Emphasis"/>
          <w:rFonts w:eastAsia="Times New Roman"/>
          <w:b w:val="0"/>
          <w:bCs w:val="0"/>
        </w:rPr>
        <w:t>Eur</w:t>
      </w:r>
      <w:proofErr w:type="spellEnd"/>
      <w:r w:rsidRPr="0087487B">
        <w:rPr>
          <w:rStyle w:val="Emphasis"/>
          <w:rFonts w:eastAsia="Times New Roman"/>
          <w:b w:val="0"/>
          <w:bCs w:val="0"/>
        </w:rPr>
        <w:t xml:space="preserve"> Respir J</w:t>
      </w:r>
      <w:r w:rsidRPr="0087487B">
        <w:rPr>
          <w:rFonts w:eastAsia="Times New Roman"/>
        </w:rPr>
        <w:t xml:space="preserve">. 2017;49(3):1601992. </w:t>
      </w:r>
      <w:proofErr w:type="spellStart"/>
      <w:r w:rsidRPr="0087487B">
        <w:rPr>
          <w:rFonts w:eastAsia="Times New Roman"/>
        </w:rPr>
        <w:t>doi</w:t>
      </w:r>
      <w:proofErr w:type="spellEnd"/>
      <w:r w:rsidRPr="0087487B">
        <w:rPr>
          <w:rFonts w:eastAsia="Times New Roman"/>
        </w:rPr>
        <w:t xml:space="preserve">: https://doi.org/10.1183/13993003.01992-2016. </w:t>
      </w:r>
    </w:p>
    <w:p w14:paraId="1E2E69F4"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Tsang CA, Shah N, Armstrong LR, Marks SM. Eligibility for a shorter treatment regimen for multidrug-resistant tuberculosis in the United States, 2011–2016. </w:t>
      </w:r>
      <w:r w:rsidRPr="0087487B">
        <w:rPr>
          <w:rStyle w:val="Emphasis"/>
          <w:rFonts w:eastAsia="Times New Roman"/>
          <w:b w:val="0"/>
          <w:bCs w:val="0"/>
        </w:rPr>
        <w:t>Clin Infect Dis</w:t>
      </w:r>
      <w:r w:rsidRPr="0087487B">
        <w:rPr>
          <w:rFonts w:eastAsia="Times New Roman"/>
        </w:rPr>
        <w:t xml:space="preserve">. 2019;70(5):907–16. </w:t>
      </w:r>
      <w:proofErr w:type="spellStart"/>
      <w:r w:rsidRPr="0087487B">
        <w:rPr>
          <w:rFonts w:eastAsia="Times New Roman"/>
        </w:rPr>
        <w:t>doi</w:t>
      </w:r>
      <w:proofErr w:type="spellEnd"/>
      <w:r w:rsidRPr="0087487B">
        <w:rPr>
          <w:rFonts w:eastAsia="Times New Roman"/>
        </w:rPr>
        <w:t xml:space="preserve">: https://doi.org/10.1093/cid/ciz263. </w:t>
      </w:r>
    </w:p>
    <w:p w14:paraId="75A36CC9"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Lange C, Duarte R, </w:t>
      </w:r>
      <w:proofErr w:type="spellStart"/>
      <w:r w:rsidRPr="0087487B">
        <w:rPr>
          <w:rFonts w:eastAsia="Times New Roman"/>
        </w:rPr>
        <w:t>Fre´chet-Jachym</w:t>
      </w:r>
      <w:proofErr w:type="spellEnd"/>
      <w:r w:rsidRPr="0087487B">
        <w:rPr>
          <w:rFonts w:eastAsia="Times New Roman"/>
        </w:rPr>
        <w:t xml:space="preserve"> M, Guenther G, </w:t>
      </w:r>
      <w:proofErr w:type="spellStart"/>
      <w:r w:rsidRPr="0087487B">
        <w:rPr>
          <w:rFonts w:eastAsia="Times New Roman"/>
        </w:rPr>
        <w:t>Guglielmetti</w:t>
      </w:r>
      <w:proofErr w:type="spellEnd"/>
      <w:r w:rsidRPr="0087487B">
        <w:rPr>
          <w:rFonts w:eastAsia="Times New Roman"/>
        </w:rPr>
        <w:t xml:space="preserve"> L, Olaru ID et al. Limited benefit of the new shorter multidrug-resistant tuberculosis regimen in Europe. </w:t>
      </w:r>
      <w:r w:rsidRPr="0087487B">
        <w:rPr>
          <w:rStyle w:val="Emphasis"/>
          <w:rFonts w:eastAsia="Times New Roman"/>
          <w:b w:val="0"/>
          <w:bCs w:val="0"/>
        </w:rPr>
        <w:t>Am J Respir Crit Care Med</w:t>
      </w:r>
      <w:r w:rsidRPr="0087487B">
        <w:rPr>
          <w:rFonts w:eastAsia="Times New Roman"/>
        </w:rPr>
        <w:t xml:space="preserve">. 2016;194(8):1029–31. </w:t>
      </w:r>
      <w:proofErr w:type="spellStart"/>
      <w:r w:rsidRPr="0087487B">
        <w:rPr>
          <w:rFonts w:eastAsia="Times New Roman"/>
        </w:rPr>
        <w:t>doi</w:t>
      </w:r>
      <w:proofErr w:type="spellEnd"/>
      <w:r w:rsidRPr="0087487B">
        <w:rPr>
          <w:rFonts w:eastAsia="Times New Roman"/>
        </w:rPr>
        <w:t xml:space="preserve">: https://doi.org/10.1164/rccm.201606-1097LE. </w:t>
      </w:r>
    </w:p>
    <w:p w14:paraId="19914F3C"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Van </w:t>
      </w:r>
      <w:proofErr w:type="spellStart"/>
      <w:r w:rsidRPr="0087487B">
        <w:rPr>
          <w:rFonts w:eastAsia="Times New Roman"/>
        </w:rPr>
        <w:t>Deun</w:t>
      </w:r>
      <w:proofErr w:type="spellEnd"/>
      <w:r w:rsidRPr="0087487B">
        <w:rPr>
          <w:rFonts w:eastAsia="Times New Roman"/>
        </w:rPr>
        <w:t xml:space="preserve"> A, </w:t>
      </w:r>
      <w:proofErr w:type="spellStart"/>
      <w:r w:rsidRPr="0087487B">
        <w:rPr>
          <w:rFonts w:eastAsia="Times New Roman"/>
        </w:rPr>
        <w:t>Decroo</w:t>
      </w:r>
      <w:proofErr w:type="spellEnd"/>
      <w:r w:rsidRPr="0087487B">
        <w:rPr>
          <w:rFonts w:eastAsia="Times New Roman"/>
        </w:rPr>
        <w:t xml:space="preserve"> T, </w:t>
      </w:r>
      <w:proofErr w:type="spellStart"/>
      <w:r w:rsidRPr="0087487B">
        <w:rPr>
          <w:rFonts w:eastAsia="Times New Roman"/>
        </w:rPr>
        <w:t>Piubello</w:t>
      </w:r>
      <w:proofErr w:type="spellEnd"/>
      <w:r w:rsidRPr="0087487B">
        <w:rPr>
          <w:rFonts w:eastAsia="Times New Roman"/>
        </w:rPr>
        <w:t xml:space="preserve"> A, de Jong BC, Lynen L, Rieder HL. Principles for constructing a tuberculosis treatment regimen: the role and definition of core and companion drugs. </w:t>
      </w:r>
      <w:r w:rsidRPr="0087487B">
        <w:rPr>
          <w:rStyle w:val="Emphasis"/>
          <w:rFonts w:eastAsia="Times New Roman"/>
          <w:b w:val="0"/>
          <w:bCs w:val="0"/>
        </w:rPr>
        <w:t xml:space="preserve">Int J </w:t>
      </w:r>
      <w:proofErr w:type="spellStart"/>
      <w:r w:rsidRPr="0087487B">
        <w:rPr>
          <w:rStyle w:val="Emphasis"/>
          <w:rFonts w:eastAsia="Times New Roman"/>
          <w:b w:val="0"/>
          <w:bCs w:val="0"/>
        </w:rPr>
        <w:t>Tuberc</w:t>
      </w:r>
      <w:proofErr w:type="spellEnd"/>
      <w:r w:rsidRPr="0087487B">
        <w:rPr>
          <w:rStyle w:val="Emphasis"/>
          <w:rFonts w:eastAsia="Times New Roman"/>
          <w:b w:val="0"/>
          <w:bCs w:val="0"/>
        </w:rPr>
        <w:t xml:space="preserve"> Lung Dis</w:t>
      </w:r>
      <w:r w:rsidRPr="0087487B">
        <w:rPr>
          <w:rFonts w:eastAsia="Times New Roman"/>
        </w:rPr>
        <w:t xml:space="preserve">. 2018;22(3):239–45. </w:t>
      </w:r>
      <w:proofErr w:type="spellStart"/>
      <w:r w:rsidRPr="0087487B">
        <w:rPr>
          <w:rFonts w:eastAsia="Times New Roman"/>
        </w:rPr>
        <w:t>doi</w:t>
      </w:r>
      <w:proofErr w:type="spellEnd"/>
      <w:r w:rsidRPr="0087487B">
        <w:rPr>
          <w:rFonts w:eastAsia="Times New Roman"/>
        </w:rPr>
        <w:t xml:space="preserve">: https://doi.org/10.5588/ijtld.17.0660. </w:t>
      </w:r>
    </w:p>
    <w:p w14:paraId="76998025" w14:textId="77777777" w:rsidR="00F605B4" w:rsidRPr="0087487B" w:rsidRDefault="00F605B4" w:rsidP="00934C63">
      <w:pPr>
        <w:pStyle w:val="ListParagraph"/>
        <w:numPr>
          <w:ilvl w:val="0"/>
          <w:numId w:val="28"/>
        </w:numPr>
        <w:divId w:val="448665177"/>
        <w:rPr>
          <w:rFonts w:eastAsia="Times New Roman"/>
        </w:rPr>
      </w:pPr>
      <w:proofErr w:type="spellStart"/>
      <w:r w:rsidRPr="0087487B">
        <w:rPr>
          <w:rFonts w:eastAsia="Times New Roman"/>
        </w:rPr>
        <w:t>Mirzayev</w:t>
      </w:r>
      <w:proofErr w:type="spellEnd"/>
      <w:r w:rsidRPr="0087487B">
        <w:rPr>
          <w:rFonts w:eastAsia="Times New Roman"/>
        </w:rPr>
        <w:t xml:space="preserve"> F, </w:t>
      </w:r>
      <w:proofErr w:type="spellStart"/>
      <w:r w:rsidRPr="0087487B">
        <w:rPr>
          <w:rFonts w:eastAsia="Times New Roman"/>
        </w:rPr>
        <w:t>Viney</w:t>
      </w:r>
      <w:proofErr w:type="spellEnd"/>
      <w:r w:rsidRPr="0087487B">
        <w:rPr>
          <w:rFonts w:eastAsia="Times New Roman"/>
        </w:rPr>
        <w:t xml:space="preserve"> K, Linh NN, Gonzalez-Angulo L, </w:t>
      </w:r>
      <w:proofErr w:type="spellStart"/>
      <w:r w:rsidRPr="0087487B">
        <w:rPr>
          <w:rFonts w:eastAsia="Times New Roman"/>
        </w:rPr>
        <w:t>Gegea</w:t>
      </w:r>
      <w:proofErr w:type="spellEnd"/>
      <w:r w:rsidRPr="0087487B">
        <w:rPr>
          <w:rFonts w:eastAsia="Times New Roman"/>
        </w:rPr>
        <w:t xml:space="preserve"> M, Jaramillo E et al. World Health Organization recommendations on the treatment of drug-resistant tuberculosis, 2020 update. </w:t>
      </w:r>
      <w:proofErr w:type="spellStart"/>
      <w:r w:rsidRPr="0087487B">
        <w:rPr>
          <w:rStyle w:val="Emphasis"/>
          <w:rFonts w:eastAsia="Times New Roman"/>
          <w:b w:val="0"/>
          <w:bCs w:val="0"/>
        </w:rPr>
        <w:t>Eur</w:t>
      </w:r>
      <w:proofErr w:type="spellEnd"/>
      <w:r w:rsidRPr="0087487B">
        <w:rPr>
          <w:rStyle w:val="Emphasis"/>
          <w:rFonts w:eastAsia="Times New Roman"/>
          <w:b w:val="0"/>
          <w:bCs w:val="0"/>
        </w:rPr>
        <w:t xml:space="preserve"> Respir J</w:t>
      </w:r>
      <w:r w:rsidRPr="0087487B">
        <w:rPr>
          <w:rFonts w:eastAsia="Times New Roman"/>
        </w:rPr>
        <w:t xml:space="preserve">. 2021;57(6):2003300. </w:t>
      </w:r>
      <w:proofErr w:type="spellStart"/>
      <w:r w:rsidRPr="0087487B">
        <w:rPr>
          <w:rFonts w:eastAsia="Times New Roman"/>
        </w:rPr>
        <w:t>doi</w:t>
      </w:r>
      <w:proofErr w:type="spellEnd"/>
      <w:r w:rsidRPr="0087487B">
        <w:rPr>
          <w:rFonts w:eastAsia="Times New Roman"/>
        </w:rPr>
        <w:t xml:space="preserve">: https://doi.org/10.1183/13993003.03300-2020. </w:t>
      </w:r>
    </w:p>
    <w:p w14:paraId="79D5F2FD"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Gibson J, Donnan E, </w:t>
      </w:r>
      <w:proofErr w:type="spellStart"/>
      <w:r w:rsidRPr="0087487B">
        <w:rPr>
          <w:rFonts w:eastAsia="Times New Roman"/>
        </w:rPr>
        <w:t>Eather</w:t>
      </w:r>
      <w:proofErr w:type="spellEnd"/>
      <w:r w:rsidRPr="0087487B">
        <w:rPr>
          <w:rFonts w:eastAsia="Times New Roman"/>
        </w:rPr>
        <w:t xml:space="preserve"> G. Management of rifampicin mono-resistant tuberculosis in Queensland, Australia: a retrospective case series. </w:t>
      </w:r>
      <w:proofErr w:type="spellStart"/>
      <w:r w:rsidRPr="0087487B">
        <w:rPr>
          <w:rStyle w:val="Emphasis"/>
          <w:rFonts w:eastAsia="Times New Roman"/>
          <w:b w:val="0"/>
          <w:bCs w:val="0"/>
        </w:rPr>
        <w:t>Respirol</w:t>
      </w:r>
      <w:proofErr w:type="spellEnd"/>
      <w:r w:rsidRPr="0087487B">
        <w:rPr>
          <w:rStyle w:val="Emphasis"/>
          <w:rFonts w:eastAsia="Times New Roman"/>
          <w:b w:val="0"/>
          <w:bCs w:val="0"/>
        </w:rPr>
        <w:t xml:space="preserve"> Case Rep</w:t>
      </w:r>
      <w:r w:rsidRPr="0087487B">
        <w:rPr>
          <w:rFonts w:eastAsia="Times New Roman"/>
        </w:rPr>
        <w:t>. 2018;6(8</w:t>
      </w:r>
      <w:proofErr w:type="gramStart"/>
      <w:r w:rsidRPr="0087487B">
        <w:rPr>
          <w:rFonts w:eastAsia="Times New Roman"/>
        </w:rPr>
        <w:t>):e</w:t>
      </w:r>
      <w:proofErr w:type="gramEnd"/>
      <w:r w:rsidRPr="0087487B">
        <w:rPr>
          <w:rFonts w:eastAsia="Times New Roman"/>
        </w:rPr>
        <w:t xml:space="preserve">00366. </w:t>
      </w:r>
      <w:proofErr w:type="spellStart"/>
      <w:r w:rsidRPr="0087487B">
        <w:rPr>
          <w:rFonts w:eastAsia="Times New Roman"/>
        </w:rPr>
        <w:t>doi</w:t>
      </w:r>
      <w:proofErr w:type="spellEnd"/>
      <w:r w:rsidRPr="0087487B">
        <w:rPr>
          <w:rFonts w:eastAsia="Times New Roman"/>
        </w:rPr>
        <w:t xml:space="preserve">: https://doi.org/10.1002/rcr2.366. </w:t>
      </w:r>
    </w:p>
    <w:p w14:paraId="1FD7D550"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Toman K, Frieden TR, WHO‎. </w:t>
      </w:r>
      <w:r w:rsidRPr="0087487B">
        <w:rPr>
          <w:rStyle w:val="Emphasis"/>
          <w:rFonts w:eastAsia="Times New Roman"/>
          <w:b w:val="0"/>
          <w:bCs w:val="0"/>
        </w:rPr>
        <w:t xml:space="preserve">Toman’s </w:t>
      </w:r>
      <w:proofErr w:type="gramStart"/>
      <w:r w:rsidRPr="0087487B">
        <w:rPr>
          <w:rStyle w:val="Emphasis"/>
          <w:rFonts w:eastAsia="Times New Roman"/>
          <w:b w:val="0"/>
          <w:bCs w:val="0"/>
        </w:rPr>
        <w:t>tuberculosis :</w:t>
      </w:r>
      <w:proofErr w:type="gramEnd"/>
      <w:r w:rsidRPr="0087487B">
        <w:rPr>
          <w:rStyle w:val="Emphasis"/>
          <w:rFonts w:eastAsia="Times New Roman"/>
          <w:b w:val="0"/>
          <w:bCs w:val="0"/>
        </w:rPr>
        <w:t xml:space="preserve"> case detection, treatment, and monitoring : questions and answers / edited by T. Frieden, 2nd ed</w:t>
      </w:r>
      <w:r w:rsidRPr="0087487B">
        <w:rPr>
          <w:rFonts w:eastAsia="Times New Roman"/>
        </w:rPr>
        <w:t xml:space="preserve">. Geneva: WHO; 2004. Available from: https://apps.who.int/iris/handle/10665/42701. </w:t>
      </w:r>
    </w:p>
    <w:p w14:paraId="361F2C37"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w:t>
      </w:r>
      <w:r w:rsidRPr="0087487B">
        <w:rPr>
          <w:rStyle w:val="Emphasis"/>
          <w:rFonts w:eastAsia="Times New Roman"/>
          <w:b w:val="0"/>
          <w:bCs w:val="0"/>
        </w:rPr>
        <w:t>Companion handbook to the WHO guidelines for the programmatic management of drug-resistant tuberculosis</w:t>
      </w:r>
      <w:r w:rsidRPr="0087487B">
        <w:rPr>
          <w:rFonts w:eastAsia="Times New Roman"/>
        </w:rPr>
        <w:t xml:space="preserve">. Geneva: WHO; 2014. Available from: https://apps.who.int/iris/handle/10665/130918. </w:t>
      </w:r>
    </w:p>
    <w:p w14:paraId="64EFFEC3"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Curry International Tuberculosis </w:t>
      </w:r>
      <w:proofErr w:type="spellStart"/>
      <w:r w:rsidRPr="0087487B">
        <w:rPr>
          <w:rFonts w:eastAsia="Times New Roman"/>
        </w:rPr>
        <w:t>Center</w:t>
      </w:r>
      <w:proofErr w:type="spellEnd"/>
      <w:r w:rsidRPr="0087487B">
        <w:rPr>
          <w:rFonts w:eastAsia="Times New Roman"/>
        </w:rPr>
        <w:t xml:space="preserve"> (CITC), California Department of Public Health Tuberculosis Control Branch. </w:t>
      </w:r>
      <w:r w:rsidRPr="0087487B">
        <w:rPr>
          <w:rStyle w:val="Emphasis"/>
          <w:rFonts w:eastAsia="Times New Roman"/>
          <w:b w:val="0"/>
          <w:bCs w:val="0"/>
        </w:rPr>
        <w:t>Drug-Resistant Tuberculosis: A Survival Guide for Clinicians,</w:t>
      </w:r>
      <w:proofErr w:type="gramStart"/>
      <w:r w:rsidRPr="0087487B">
        <w:rPr>
          <w:rStyle w:val="Emphasis"/>
          <w:rFonts w:eastAsia="Times New Roman"/>
          <w:b w:val="0"/>
          <w:bCs w:val="0"/>
        </w:rPr>
        <w:t>3rd</w:t>
      </w:r>
      <w:proofErr w:type="gramEnd"/>
      <w:r w:rsidRPr="0087487B">
        <w:rPr>
          <w:rStyle w:val="Emphasis"/>
          <w:rFonts w:eastAsia="Times New Roman"/>
          <w:b w:val="0"/>
          <w:bCs w:val="0"/>
        </w:rPr>
        <w:t xml:space="preserve"> edition/2022 Updates</w:t>
      </w:r>
      <w:r w:rsidRPr="0087487B">
        <w:rPr>
          <w:rFonts w:eastAsia="Times New Roman"/>
        </w:rPr>
        <w:t xml:space="preserve">. San </w:t>
      </w:r>
      <w:r w:rsidRPr="0087487B">
        <w:rPr>
          <w:rFonts w:eastAsia="Times New Roman"/>
        </w:rPr>
        <w:lastRenderedPageBreak/>
        <w:t xml:space="preserve">Francisco: University of California San Francisco, CITC; December 2022. Available from: https://www.currytbcenter.ucsf.edu/products/view/drug-resistant-tuberculosis-survival-guide-clinicians-3rd-edition. </w:t>
      </w:r>
    </w:p>
    <w:p w14:paraId="660D754D"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Regional Office for Europe. </w:t>
      </w:r>
      <w:r w:rsidRPr="0087487B">
        <w:rPr>
          <w:rStyle w:val="Emphasis"/>
          <w:rFonts w:eastAsia="Times New Roman"/>
          <w:b w:val="0"/>
          <w:bCs w:val="0"/>
        </w:rPr>
        <w:t>The role of surgery in the treatment of pulmonary tuberculosis and multidrug- and extensively drug-resistant tuberculosis</w:t>
      </w:r>
      <w:r w:rsidRPr="0087487B">
        <w:rPr>
          <w:rFonts w:eastAsia="Times New Roman"/>
        </w:rPr>
        <w:t xml:space="preserve">. Geneva: WHO; 2014. </w:t>
      </w:r>
    </w:p>
    <w:p w14:paraId="2D59EB7B"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Fox GJ, Mitnick CD, Benedetti A, Chan ED, Becerra M, Chiang CY et al. Surgery as an adjunctive treatment for multidrug-resistant tuberculosis: an individual patient data meta-analysis. </w:t>
      </w:r>
      <w:r w:rsidRPr="0087487B">
        <w:rPr>
          <w:rStyle w:val="Emphasis"/>
          <w:rFonts w:eastAsia="Times New Roman"/>
          <w:b w:val="0"/>
          <w:bCs w:val="0"/>
        </w:rPr>
        <w:t>Clin Infect Dis</w:t>
      </w:r>
      <w:r w:rsidRPr="0087487B">
        <w:rPr>
          <w:rFonts w:eastAsia="Times New Roman"/>
        </w:rPr>
        <w:t xml:space="preserve">. 2016;62(7):887–95. </w:t>
      </w:r>
      <w:proofErr w:type="spellStart"/>
      <w:r w:rsidRPr="0087487B">
        <w:rPr>
          <w:rFonts w:eastAsia="Times New Roman"/>
        </w:rPr>
        <w:t>doi</w:t>
      </w:r>
      <w:proofErr w:type="spellEnd"/>
      <w:r w:rsidRPr="0087487B">
        <w:rPr>
          <w:rFonts w:eastAsia="Times New Roman"/>
        </w:rPr>
        <w:t xml:space="preserve">: https://doi.org/10.1093/cid/ciw002. </w:t>
      </w:r>
    </w:p>
    <w:p w14:paraId="6DABA5B9" w14:textId="77777777" w:rsidR="00F605B4" w:rsidRPr="0087487B" w:rsidRDefault="00F605B4" w:rsidP="00934C63">
      <w:pPr>
        <w:pStyle w:val="ListParagraph"/>
        <w:numPr>
          <w:ilvl w:val="0"/>
          <w:numId w:val="28"/>
        </w:numPr>
        <w:divId w:val="448665177"/>
        <w:rPr>
          <w:rFonts w:eastAsia="Times New Roman"/>
        </w:rPr>
      </w:pPr>
      <w:proofErr w:type="spellStart"/>
      <w:r w:rsidRPr="0087487B">
        <w:rPr>
          <w:rFonts w:eastAsia="Times New Roman"/>
        </w:rPr>
        <w:t>Marrone</w:t>
      </w:r>
      <w:proofErr w:type="spellEnd"/>
      <w:r w:rsidRPr="0087487B">
        <w:rPr>
          <w:rFonts w:eastAsia="Times New Roman"/>
        </w:rPr>
        <w:t xml:space="preserve"> MT, </w:t>
      </w:r>
      <w:proofErr w:type="spellStart"/>
      <w:r w:rsidRPr="0087487B">
        <w:rPr>
          <w:rFonts w:eastAsia="Times New Roman"/>
        </w:rPr>
        <w:t>Venkataramanan</w:t>
      </w:r>
      <w:proofErr w:type="spellEnd"/>
      <w:r w:rsidRPr="0087487B">
        <w:rPr>
          <w:rFonts w:eastAsia="Times New Roman"/>
        </w:rPr>
        <w:t xml:space="preserve"> V, Goodman M, Hill AC, </w:t>
      </w:r>
      <w:proofErr w:type="spellStart"/>
      <w:r w:rsidRPr="0087487B">
        <w:rPr>
          <w:rFonts w:eastAsia="Times New Roman"/>
        </w:rPr>
        <w:t>Jereb</w:t>
      </w:r>
      <w:proofErr w:type="spellEnd"/>
      <w:r w:rsidRPr="0087487B">
        <w:rPr>
          <w:rFonts w:eastAsia="Times New Roman"/>
        </w:rPr>
        <w:t xml:space="preserve"> JA, Mase SR. Surgical interventions for drug-resistant tuberculosis: a systematic review and meta-analysis. </w:t>
      </w:r>
      <w:r w:rsidRPr="0087487B">
        <w:rPr>
          <w:rStyle w:val="Emphasis"/>
          <w:rFonts w:eastAsia="Times New Roman"/>
          <w:b w:val="0"/>
          <w:bCs w:val="0"/>
        </w:rPr>
        <w:t xml:space="preserve">Int J </w:t>
      </w:r>
      <w:proofErr w:type="spellStart"/>
      <w:r w:rsidRPr="0087487B">
        <w:rPr>
          <w:rStyle w:val="Emphasis"/>
          <w:rFonts w:eastAsia="Times New Roman"/>
          <w:b w:val="0"/>
          <w:bCs w:val="0"/>
        </w:rPr>
        <w:t>Tuberc</w:t>
      </w:r>
      <w:proofErr w:type="spellEnd"/>
      <w:r w:rsidRPr="0087487B">
        <w:rPr>
          <w:rStyle w:val="Emphasis"/>
          <w:rFonts w:eastAsia="Times New Roman"/>
          <w:b w:val="0"/>
          <w:bCs w:val="0"/>
        </w:rPr>
        <w:t xml:space="preserve"> Lung Dis</w:t>
      </w:r>
      <w:r w:rsidRPr="0087487B">
        <w:rPr>
          <w:rFonts w:eastAsia="Times New Roman"/>
        </w:rPr>
        <w:t xml:space="preserve">. 2013;17(1):6–16. </w:t>
      </w:r>
      <w:proofErr w:type="spellStart"/>
      <w:r w:rsidRPr="0087487B">
        <w:rPr>
          <w:rFonts w:eastAsia="Times New Roman"/>
        </w:rPr>
        <w:t>doi</w:t>
      </w:r>
      <w:proofErr w:type="spellEnd"/>
      <w:r w:rsidRPr="0087487B">
        <w:rPr>
          <w:rFonts w:eastAsia="Times New Roman"/>
        </w:rPr>
        <w:t xml:space="preserve">: https://doi.org/10.5588/ijtld.12.0198. </w:t>
      </w:r>
    </w:p>
    <w:p w14:paraId="6D019474"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WHO Global Tuberculosis Programme. </w:t>
      </w:r>
      <w:r w:rsidRPr="0087487B">
        <w:rPr>
          <w:rStyle w:val="Emphasis"/>
          <w:rFonts w:eastAsia="Times New Roman"/>
          <w:b w:val="0"/>
          <w:bCs w:val="0"/>
        </w:rPr>
        <w:t>WHO operational handbook on tuberculosis. Module 4: treatment - drug-resistant tuberculosis treatment, 2022 update</w:t>
      </w:r>
      <w:r w:rsidRPr="0087487B">
        <w:rPr>
          <w:rFonts w:eastAsia="Times New Roman"/>
        </w:rPr>
        <w:t xml:space="preserve">. Geneva: WHO; 15 December 2022. Available from: https://www.who.int/publications/i/item/9789240065116. </w:t>
      </w:r>
    </w:p>
    <w:p w14:paraId="70A915DB"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Upton CM, Steele CI, </w:t>
      </w:r>
      <w:proofErr w:type="spellStart"/>
      <w:r w:rsidRPr="0087487B">
        <w:rPr>
          <w:rFonts w:eastAsia="Times New Roman"/>
        </w:rPr>
        <w:t>Maartens</w:t>
      </w:r>
      <w:proofErr w:type="spellEnd"/>
      <w:r w:rsidRPr="0087487B">
        <w:rPr>
          <w:rFonts w:eastAsia="Times New Roman"/>
        </w:rPr>
        <w:t xml:space="preserve"> G, </w:t>
      </w:r>
      <w:proofErr w:type="spellStart"/>
      <w:r w:rsidRPr="0087487B">
        <w:rPr>
          <w:rFonts w:eastAsia="Times New Roman"/>
        </w:rPr>
        <w:t>Diacon</w:t>
      </w:r>
      <w:proofErr w:type="spellEnd"/>
      <w:r w:rsidRPr="0087487B">
        <w:rPr>
          <w:rFonts w:eastAsia="Times New Roman"/>
        </w:rPr>
        <w:t xml:space="preserve"> AH, Wiesner L, Dooley KE. Pharmacokinetics of </w:t>
      </w:r>
      <w:proofErr w:type="spellStart"/>
      <w:r w:rsidRPr="0087487B">
        <w:rPr>
          <w:rFonts w:eastAsia="Times New Roman"/>
        </w:rPr>
        <w:t>bedaquiline</w:t>
      </w:r>
      <w:proofErr w:type="spellEnd"/>
      <w:r w:rsidRPr="0087487B">
        <w:rPr>
          <w:rFonts w:eastAsia="Times New Roman"/>
        </w:rPr>
        <w:t xml:space="preserve"> in cerebrospinal fluid (CSF) in patients with pulmonary tuberculosis (TB). </w:t>
      </w:r>
      <w:r w:rsidRPr="0087487B">
        <w:rPr>
          <w:rStyle w:val="Emphasis"/>
          <w:rFonts w:eastAsia="Times New Roman"/>
          <w:b w:val="0"/>
          <w:bCs w:val="0"/>
        </w:rPr>
        <w:t xml:space="preserve">J </w:t>
      </w:r>
      <w:proofErr w:type="spellStart"/>
      <w:r w:rsidRPr="0087487B">
        <w:rPr>
          <w:rStyle w:val="Emphasis"/>
          <w:rFonts w:eastAsia="Times New Roman"/>
          <w:b w:val="0"/>
          <w:bCs w:val="0"/>
        </w:rPr>
        <w:t>Antimicrob</w:t>
      </w:r>
      <w:proofErr w:type="spellEnd"/>
      <w:r w:rsidRPr="0087487B">
        <w:rPr>
          <w:rStyle w:val="Emphasis"/>
          <w:rFonts w:eastAsia="Times New Roman"/>
          <w:b w:val="0"/>
          <w:bCs w:val="0"/>
        </w:rPr>
        <w:t xml:space="preserve"> </w:t>
      </w:r>
      <w:proofErr w:type="spellStart"/>
      <w:r w:rsidRPr="0087487B">
        <w:rPr>
          <w:rStyle w:val="Emphasis"/>
          <w:rFonts w:eastAsia="Times New Roman"/>
          <w:b w:val="0"/>
          <w:bCs w:val="0"/>
        </w:rPr>
        <w:t>Chemother</w:t>
      </w:r>
      <w:proofErr w:type="spellEnd"/>
      <w:r w:rsidRPr="0087487B">
        <w:rPr>
          <w:rFonts w:eastAsia="Times New Roman"/>
        </w:rPr>
        <w:t xml:space="preserve">. 2022;77(6):1720–4. </w:t>
      </w:r>
      <w:proofErr w:type="spellStart"/>
      <w:r w:rsidRPr="0087487B">
        <w:rPr>
          <w:rFonts w:eastAsia="Times New Roman"/>
        </w:rPr>
        <w:t>doi</w:t>
      </w:r>
      <w:proofErr w:type="spellEnd"/>
      <w:r w:rsidRPr="0087487B">
        <w:rPr>
          <w:rFonts w:eastAsia="Times New Roman"/>
        </w:rPr>
        <w:t xml:space="preserve">: https://doi.org/10.1093/jac/dkac067. </w:t>
      </w:r>
    </w:p>
    <w:p w14:paraId="21B86C2B"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Tucker EW, Pieterse L, Zimmerman MD, </w:t>
      </w:r>
      <w:proofErr w:type="spellStart"/>
      <w:r w:rsidRPr="0087487B">
        <w:rPr>
          <w:rFonts w:eastAsia="Times New Roman"/>
        </w:rPr>
        <w:t>Udwadia</w:t>
      </w:r>
      <w:proofErr w:type="spellEnd"/>
      <w:r w:rsidRPr="0087487B">
        <w:rPr>
          <w:rFonts w:eastAsia="Times New Roman"/>
        </w:rPr>
        <w:t xml:space="preserve"> ZF, Peloquin CA, </w:t>
      </w:r>
      <w:proofErr w:type="spellStart"/>
      <w:r w:rsidRPr="0087487B">
        <w:rPr>
          <w:rFonts w:eastAsia="Times New Roman"/>
        </w:rPr>
        <w:t>Gler</w:t>
      </w:r>
      <w:proofErr w:type="spellEnd"/>
      <w:r w:rsidRPr="0087487B">
        <w:rPr>
          <w:rFonts w:eastAsia="Times New Roman"/>
        </w:rPr>
        <w:t xml:space="preserve"> MT et al. </w:t>
      </w:r>
      <w:proofErr w:type="spellStart"/>
      <w:r w:rsidRPr="0087487B">
        <w:rPr>
          <w:rFonts w:eastAsia="Times New Roman"/>
        </w:rPr>
        <w:t>Delamanid</w:t>
      </w:r>
      <w:proofErr w:type="spellEnd"/>
      <w:r w:rsidRPr="0087487B">
        <w:rPr>
          <w:rFonts w:eastAsia="Times New Roman"/>
        </w:rPr>
        <w:t xml:space="preserve"> central nervous system pharmacokinetics in tuberculous meningitis in rabbits and humans. </w:t>
      </w:r>
      <w:proofErr w:type="spellStart"/>
      <w:r w:rsidRPr="0087487B">
        <w:rPr>
          <w:rStyle w:val="Emphasis"/>
          <w:rFonts w:eastAsia="Times New Roman"/>
          <w:b w:val="0"/>
          <w:bCs w:val="0"/>
        </w:rPr>
        <w:t>Antimicrob</w:t>
      </w:r>
      <w:proofErr w:type="spellEnd"/>
      <w:r w:rsidRPr="0087487B">
        <w:rPr>
          <w:rStyle w:val="Emphasis"/>
          <w:rFonts w:eastAsia="Times New Roman"/>
          <w:b w:val="0"/>
          <w:bCs w:val="0"/>
        </w:rPr>
        <w:t xml:space="preserve"> Agents </w:t>
      </w:r>
      <w:proofErr w:type="spellStart"/>
      <w:r w:rsidRPr="0087487B">
        <w:rPr>
          <w:rStyle w:val="Emphasis"/>
          <w:rFonts w:eastAsia="Times New Roman"/>
          <w:b w:val="0"/>
          <w:bCs w:val="0"/>
        </w:rPr>
        <w:t>Chemother</w:t>
      </w:r>
      <w:proofErr w:type="spellEnd"/>
      <w:r w:rsidRPr="0087487B">
        <w:rPr>
          <w:rFonts w:eastAsia="Times New Roman"/>
        </w:rPr>
        <w:t>. 2019;63(10</w:t>
      </w:r>
      <w:proofErr w:type="gramStart"/>
      <w:r w:rsidRPr="0087487B">
        <w:rPr>
          <w:rFonts w:eastAsia="Times New Roman"/>
        </w:rPr>
        <w:t>):e</w:t>
      </w:r>
      <w:proofErr w:type="gramEnd"/>
      <w:r w:rsidRPr="0087487B">
        <w:rPr>
          <w:rFonts w:eastAsia="Times New Roman"/>
        </w:rPr>
        <w:t xml:space="preserve">00913-19. </w:t>
      </w:r>
      <w:proofErr w:type="spellStart"/>
      <w:r w:rsidRPr="0087487B">
        <w:rPr>
          <w:rFonts w:eastAsia="Times New Roman"/>
        </w:rPr>
        <w:t>doi</w:t>
      </w:r>
      <w:proofErr w:type="spellEnd"/>
      <w:r w:rsidRPr="0087487B">
        <w:rPr>
          <w:rFonts w:eastAsia="Times New Roman"/>
        </w:rPr>
        <w:t xml:space="preserve">: https://doi.org/10.1128/AAC.00913-19. </w:t>
      </w:r>
    </w:p>
    <w:p w14:paraId="3B1A7FF8" w14:textId="77777777" w:rsidR="00F605B4" w:rsidRPr="0087487B" w:rsidRDefault="00F605B4" w:rsidP="00934C63">
      <w:pPr>
        <w:pStyle w:val="ListParagraph"/>
        <w:numPr>
          <w:ilvl w:val="0"/>
          <w:numId w:val="28"/>
        </w:numPr>
        <w:divId w:val="448665177"/>
        <w:rPr>
          <w:rFonts w:eastAsia="Times New Roman"/>
        </w:rPr>
      </w:pPr>
      <w:proofErr w:type="spellStart"/>
      <w:r w:rsidRPr="0087487B">
        <w:rPr>
          <w:rFonts w:eastAsia="Times New Roman"/>
        </w:rPr>
        <w:t>Alffenaar</w:t>
      </w:r>
      <w:proofErr w:type="spellEnd"/>
      <w:r w:rsidRPr="0087487B">
        <w:rPr>
          <w:rFonts w:eastAsia="Times New Roman"/>
        </w:rPr>
        <w:t xml:space="preserve"> JWC, </w:t>
      </w:r>
      <w:proofErr w:type="spellStart"/>
      <w:r w:rsidRPr="0087487B">
        <w:rPr>
          <w:rFonts w:eastAsia="Times New Roman"/>
        </w:rPr>
        <w:t>Akkerman</w:t>
      </w:r>
      <w:proofErr w:type="spellEnd"/>
      <w:r w:rsidRPr="0087487B">
        <w:rPr>
          <w:rFonts w:eastAsia="Times New Roman"/>
        </w:rPr>
        <w:t xml:space="preserve"> OW, Kim HY, </w:t>
      </w:r>
      <w:proofErr w:type="spellStart"/>
      <w:r w:rsidRPr="0087487B">
        <w:rPr>
          <w:rFonts w:eastAsia="Times New Roman"/>
        </w:rPr>
        <w:t>Tiberi</w:t>
      </w:r>
      <w:proofErr w:type="spellEnd"/>
      <w:r w:rsidRPr="0087487B">
        <w:rPr>
          <w:rFonts w:eastAsia="Times New Roman"/>
        </w:rPr>
        <w:t xml:space="preserve"> S, </w:t>
      </w:r>
      <w:proofErr w:type="spellStart"/>
      <w:r w:rsidRPr="0087487B">
        <w:rPr>
          <w:rFonts w:eastAsia="Times New Roman"/>
        </w:rPr>
        <w:t>Migliori</w:t>
      </w:r>
      <w:proofErr w:type="spellEnd"/>
      <w:r w:rsidRPr="0087487B">
        <w:rPr>
          <w:rFonts w:eastAsia="Times New Roman"/>
        </w:rPr>
        <w:t xml:space="preserve"> GB. Precision and personalized medicine and anti-TB treatment: is TDM </w:t>
      </w:r>
      <w:proofErr w:type="gramStart"/>
      <w:r w:rsidRPr="0087487B">
        <w:rPr>
          <w:rFonts w:eastAsia="Times New Roman"/>
        </w:rPr>
        <w:t>feasible</w:t>
      </w:r>
      <w:proofErr w:type="gramEnd"/>
      <w:r w:rsidRPr="0087487B">
        <w:rPr>
          <w:rFonts w:eastAsia="Times New Roman"/>
        </w:rPr>
        <w:t xml:space="preserve"> for programmatic use? </w:t>
      </w:r>
      <w:r w:rsidRPr="0087487B">
        <w:rPr>
          <w:rStyle w:val="Emphasis"/>
          <w:rFonts w:eastAsia="Times New Roman"/>
          <w:b w:val="0"/>
          <w:bCs w:val="0"/>
        </w:rPr>
        <w:t>Int J Infect Dis</w:t>
      </w:r>
      <w:r w:rsidRPr="0087487B">
        <w:rPr>
          <w:rFonts w:eastAsia="Times New Roman"/>
        </w:rPr>
        <w:t xml:space="preserve">. </w:t>
      </w:r>
      <w:proofErr w:type="gramStart"/>
      <w:r w:rsidRPr="0087487B">
        <w:rPr>
          <w:rFonts w:eastAsia="Times New Roman"/>
        </w:rPr>
        <w:t>2020;92S:S5</w:t>
      </w:r>
      <w:proofErr w:type="gramEnd"/>
      <w:r w:rsidRPr="0087487B">
        <w:rPr>
          <w:rFonts w:eastAsia="Times New Roman"/>
        </w:rPr>
        <w:t xml:space="preserve">–9. </w:t>
      </w:r>
      <w:proofErr w:type="spellStart"/>
      <w:r w:rsidRPr="0087487B">
        <w:rPr>
          <w:rFonts w:eastAsia="Times New Roman"/>
        </w:rPr>
        <w:t>doi</w:t>
      </w:r>
      <w:proofErr w:type="spellEnd"/>
      <w:r w:rsidRPr="0087487B">
        <w:rPr>
          <w:rFonts w:eastAsia="Times New Roman"/>
        </w:rPr>
        <w:t xml:space="preserve">: https://doi.org/10.1016/j.ijid.2020.01.041. </w:t>
      </w:r>
    </w:p>
    <w:p w14:paraId="02AC187A" w14:textId="77777777" w:rsidR="00F605B4" w:rsidRPr="0087487B" w:rsidRDefault="00F605B4" w:rsidP="00934C63">
      <w:pPr>
        <w:pStyle w:val="ListParagraph"/>
        <w:numPr>
          <w:ilvl w:val="0"/>
          <w:numId w:val="28"/>
        </w:numPr>
        <w:divId w:val="448665177"/>
        <w:rPr>
          <w:rFonts w:eastAsia="Times New Roman"/>
        </w:rPr>
      </w:pPr>
      <w:proofErr w:type="spellStart"/>
      <w:r w:rsidRPr="0087487B">
        <w:rPr>
          <w:rFonts w:eastAsia="Times New Roman"/>
        </w:rPr>
        <w:t>Sturkenboom</w:t>
      </w:r>
      <w:proofErr w:type="spellEnd"/>
      <w:r w:rsidRPr="0087487B">
        <w:rPr>
          <w:rFonts w:eastAsia="Times New Roman"/>
        </w:rPr>
        <w:t xml:space="preserve"> MG, </w:t>
      </w:r>
      <w:proofErr w:type="spellStart"/>
      <w:r w:rsidRPr="0087487B">
        <w:rPr>
          <w:rFonts w:eastAsia="Times New Roman"/>
        </w:rPr>
        <w:t>Märtson</w:t>
      </w:r>
      <w:proofErr w:type="spellEnd"/>
      <w:r w:rsidRPr="0087487B">
        <w:rPr>
          <w:rFonts w:eastAsia="Times New Roman"/>
        </w:rPr>
        <w:t xml:space="preserve"> AG, </w:t>
      </w:r>
      <w:proofErr w:type="spellStart"/>
      <w:r w:rsidRPr="0087487B">
        <w:rPr>
          <w:rFonts w:eastAsia="Times New Roman"/>
        </w:rPr>
        <w:t>Svensson</w:t>
      </w:r>
      <w:proofErr w:type="spellEnd"/>
      <w:r w:rsidRPr="0087487B">
        <w:rPr>
          <w:rFonts w:eastAsia="Times New Roman"/>
        </w:rPr>
        <w:t xml:space="preserve"> EM, Sloan DJ, Dooley KE, van den </w:t>
      </w:r>
      <w:proofErr w:type="spellStart"/>
      <w:r w:rsidRPr="0087487B">
        <w:rPr>
          <w:rFonts w:eastAsia="Times New Roman"/>
        </w:rPr>
        <w:t>Elsen</w:t>
      </w:r>
      <w:proofErr w:type="spellEnd"/>
      <w:r w:rsidRPr="0087487B">
        <w:rPr>
          <w:rFonts w:eastAsia="Times New Roman"/>
        </w:rPr>
        <w:t xml:space="preserve"> SHJ et al. Population pharmacokinetics and Bayesian dose adjustment to advance TDM of anti-TB drugs. </w:t>
      </w:r>
      <w:r w:rsidRPr="0087487B">
        <w:rPr>
          <w:rStyle w:val="Emphasis"/>
          <w:rFonts w:eastAsia="Times New Roman"/>
          <w:b w:val="0"/>
          <w:bCs w:val="0"/>
        </w:rPr>
        <w:t xml:space="preserve">Clin </w:t>
      </w:r>
      <w:proofErr w:type="spellStart"/>
      <w:r w:rsidRPr="0087487B">
        <w:rPr>
          <w:rStyle w:val="Emphasis"/>
          <w:rFonts w:eastAsia="Times New Roman"/>
          <w:b w:val="0"/>
          <w:bCs w:val="0"/>
        </w:rPr>
        <w:t>Pharmacokinet</w:t>
      </w:r>
      <w:proofErr w:type="spellEnd"/>
      <w:r w:rsidRPr="0087487B">
        <w:rPr>
          <w:rFonts w:eastAsia="Times New Roman"/>
        </w:rPr>
        <w:t xml:space="preserve">. 2021;60(6):685–710. </w:t>
      </w:r>
      <w:proofErr w:type="spellStart"/>
      <w:r w:rsidRPr="0087487B">
        <w:rPr>
          <w:rFonts w:eastAsia="Times New Roman"/>
        </w:rPr>
        <w:t>doi</w:t>
      </w:r>
      <w:proofErr w:type="spellEnd"/>
      <w:r w:rsidRPr="0087487B">
        <w:rPr>
          <w:rFonts w:eastAsia="Times New Roman"/>
        </w:rPr>
        <w:t xml:space="preserve">: https://doi.org/10.1007/s40262-021-00997-0. </w:t>
      </w:r>
    </w:p>
    <w:p w14:paraId="1F33A975" w14:textId="77777777" w:rsidR="00F605B4" w:rsidRPr="0087487B" w:rsidRDefault="00F605B4" w:rsidP="00934C63">
      <w:pPr>
        <w:pStyle w:val="ListParagraph"/>
        <w:numPr>
          <w:ilvl w:val="0"/>
          <w:numId w:val="28"/>
        </w:numPr>
        <w:divId w:val="448665177"/>
        <w:rPr>
          <w:rFonts w:eastAsia="Times New Roman"/>
        </w:rPr>
      </w:pPr>
      <w:proofErr w:type="spellStart"/>
      <w:r w:rsidRPr="0087487B">
        <w:rPr>
          <w:rFonts w:eastAsia="Times New Roman"/>
        </w:rPr>
        <w:t>Migliori</w:t>
      </w:r>
      <w:proofErr w:type="spellEnd"/>
      <w:r w:rsidRPr="0087487B">
        <w:rPr>
          <w:rFonts w:eastAsia="Times New Roman"/>
        </w:rPr>
        <w:t xml:space="preserve"> GB, Marx FM, Ambrosino N, Zampogna E, Schaaf HS, van der Zalm MM et al. Clinical standards for the assessment, </w:t>
      </w:r>
      <w:proofErr w:type="gramStart"/>
      <w:r w:rsidRPr="0087487B">
        <w:rPr>
          <w:rFonts w:eastAsia="Times New Roman"/>
        </w:rPr>
        <w:t>management</w:t>
      </w:r>
      <w:proofErr w:type="gramEnd"/>
      <w:r w:rsidRPr="0087487B">
        <w:rPr>
          <w:rFonts w:eastAsia="Times New Roman"/>
        </w:rPr>
        <w:t xml:space="preserve"> and rehabilitation of post-TB lung disease. </w:t>
      </w:r>
      <w:r w:rsidRPr="0087487B">
        <w:rPr>
          <w:rStyle w:val="Emphasis"/>
          <w:rFonts w:eastAsia="Times New Roman"/>
          <w:b w:val="0"/>
          <w:bCs w:val="0"/>
        </w:rPr>
        <w:t xml:space="preserve">Int J </w:t>
      </w:r>
      <w:proofErr w:type="spellStart"/>
      <w:r w:rsidRPr="0087487B">
        <w:rPr>
          <w:rStyle w:val="Emphasis"/>
          <w:rFonts w:eastAsia="Times New Roman"/>
          <w:b w:val="0"/>
          <w:bCs w:val="0"/>
        </w:rPr>
        <w:t>Tuberc</w:t>
      </w:r>
      <w:proofErr w:type="spellEnd"/>
      <w:r w:rsidRPr="0087487B">
        <w:rPr>
          <w:rStyle w:val="Emphasis"/>
          <w:rFonts w:eastAsia="Times New Roman"/>
          <w:b w:val="0"/>
          <w:bCs w:val="0"/>
        </w:rPr>
        <w:t xml:space="preserve"> Lung Dis</w:t>
      </w:r>
      <w:r w:rsidRPr="0087487B">
        <w:rPr>
          <w:rFonts w:eastAsia="Times New Roman"/>
        </w:rPr>
        <w:t xml:space="preserve">. 2021;25(10):797–813. </w:t>
      </w:r>
      <w:proofErr w:type="spellStart"/>
      <w:r w:rsidRPr="0087487B">
        <w:rPr>
          <w:rFonts w:eastAsia="Times New Roman"/>
        </w:rPr>
        <w:t>doi</w:t>
      </w:r>
      <w:proofErr w:type="spellEnd"/>
      <w:r w:rsidRPr="0087487B">
        <w:rPr>
          <w:rFonts w:eastAsia="Times New Roman"/>
        </w:rPr>
        <w:t xml:space="preserve">: https://doi.org/10.5588/ijtld.21.0425. </w:t>
      </w:r>
    </w:p>
    <w:p w14:paraId="1BF8BCA2"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WHO. W</w:t>
      </w:r>
      <w:r w:rsidRPr="0087487B">
        <w:rPr>
          <w:rStyle w:val="Emphasis"/>
          <w:rFonts w:eastAsia="Times New Roman"/>
          <w:b w:val="0"/>
          <w:bCs w:val="0"/>
        </w:rPr>
        <w:t>HO guidelines on tuberculosis infection prevention and control, 2019 update</w:t>
      </w:r>
      <w:r w:rsidRPr="0087487B">
        <w:rPr>
          <w:rFonts w:eastAsia="Times New Roman"/>
        </w:rPr>
        <w:t xml:space="preserve">. Geneva: WHO; 2019. Available from: https://apps.who.int/iris/handle/10665/311259. </w:t>
      </w:r>
    </w:p>
    <w:p w14:paraId="30695623" w14:textId="77777777" w:rsidR="00F605B4" w:rsidRPr="0087487B" w:rsidRDefault="00F605B4" w:rsidP="00934C63">
      <w:pPr>
        <w:pStyle w:val="ListParagraph"/>
        <w:numPr>
          <w:ilvl w:val="0"/>
          <w:numId w:val="28"/>
        </w:numPr>
        <w:divId w:val="448665177"/>
        <w:rPr>
          <w:rFonts w:eastAsia="Times New Roman"/>
        </w:rPr>
      </w:pPr>
      <w:proofErr w:type="spellStart"/>
      <w:r w:rsidRPr="0087487B">
        <w:rPr>
          <w:rFonts w:eastAsia="Times New Roman"/>
        </w:rPr>
        <w:t>Migliori</w:t>
      </w:r>
      <w:proofErr w:type="spellEnd"/>
      <w:r w:rsidRPr="0087487B">
        <w:rPr>
          <w:rFonts w:eastAsia="Times New Roman"/>
        </w:rPr>
        <w:t xml:space="preserve"> GB, </w:t>
      </w:r>
      <w:proofErr w:type="spellStart"/>
      <w:r w:rsidRPr="0087487B">
        <w:rPr>
          <w:rFonts w:eastAsia="Times New Roman"/>
        </w:rPr>
        <w:t>Nardell</w:t>
      </w:r>
      <w:proofErr w:type="spellEnd"/>
      <w:r w:rsidRPr="0087487B">
        <w:rPr>
          <w:rFonts w:eastAsia="Times New Roman"/>
        </w:rPr>
        <w:t xml:space="preserve"> E, </w:t>
      </w:r>
      <w:proofErr w:type="spellStart"/>
      <w:r w:rsidRPr="0087487B">
        <w:rPr>
          <w:rFonts w:eastAsia="Times New Roman"/>
        </w:rPr>
        <w:t>Yedilbayev</w:t>
      </w:r>
      <w:proofErr w:type="spellEnd"/>
      <w:r w:rsidRPr="0087487B">
        <w:rPr>
          <w:rFonts w:eastAsia="Times New Roman"/>
        </w:rPr>
        <w:t xml:space="preserve"> A, </w:t>
      </w:r>
      <w:proofErr w:type="spellStart"/>
      <w:r w:rsidRPr="0087487B">
        <w:rPr>
          <w:rFonts w:eastAsia="Times New Roman"/>
        </w:rPr>
        <w:t>D’Ambrosio</w:t>
      </w:r>
      <w:proofErr w:type="spellEnd"/>
      <w:r w:rsidRPr="0087487B">
        <w:rPr>
          <w:rFonts w:eastAsia="Times New Roman"/>
        </w:rPr>
        <w:t xml:space="preserve"> L, </w:t>
      </w:r>
      <w:proofErr w:type="spellStart"/>
      <w:r w:rsidRPr="0087487B">
        <w:rPr>
          <w:rFonts w:eastAsia="Times New Roman"/>
        </w:rPr>
        <w:t>Centis</w:t>
      </w:r>
      <w:proofErr w:type="spellEnd"/>
      <w:r w:rsidRPr="0087487B">
        <w:rPr>
          <w:rFonts w:eastAsia="Times New Roman"/>
        </w:rPr>
        <w:t xml:space="preserve"> R, </w:t>
      </w:r>
      <w:proofErr w:type="spellStart"/>
      <w:r w:rsidRPr="0087487B">
        <w:rPr>
          <w:rFonts w:eastAsia="Times New Roman"/>
        </w:rPr>
        <w:t>Tadolini</w:t>
      </w:r>
      <w:proofErr w:type="spellEnd"/>
      <w:r w:rsidRPr="0087487B">
        <w:rPr>
          <w:rFonts w:eastAsia="Times New Roman"/>
        </w:rPr>
        <w:t xml:space="preserve"> M et al. Reducing tuberculosis transmission: a consensus document from the World Health Organization Regional Office for Europe. </w:t>
      </w:r>
      <w:proofErr w:type="spellStart"/>
      <w:r w:rsidRPr="0087487B">
        <w:rPr>
          <w:rStyle w:val="Emphasis"/>
          <w:rFonts w:eastAsia="Times New Roman"/>
          <w:b w:val="0"/>
          <w:bCs w:val="0"/>
        </w:rPr>
        <w:t>Eur</w:t>
      </w:r>
      <w:proofErr w:type="spellEnd"/>
      <w:r w:rsidRPr="0087487B">
        <w:rPr>
          <w:rStyle w:val="Emphasis"/>
          <w:rFonts w:eastAsia="Times New Roman"/>
          <w:b w:val="0"/>
          <w:bCs w:val="0"/>
        </w:rPr>
        <w:t xml:space="preserve"> Respir J</w:t>
      </w:r>
      <w:r w:rsidRPr="0087487B">
        <w:rPr>
          <w:rFonts w:eastAsia="Times New Roman"/>
        </w:rPr>
        <w:t xml:space="preserve">. 2019;53(6):1900391. </w:t>
      </w:r>
      <w:proofErr w:type="spellStart"/>
      <w:r w:rsidRPr="0087487B">
        <w:rPr>
          <w:rFonts w:eastAsia="Times New Roman"/>
        </w:rPr>
        <w:t>doi</w:t>
      </w:r>
      <w:proofErr w:type="spellEnd"/>
      <w:r w:rsidRPr="0087487B">
        <w:rPr>
          <w:rFonts w:eastAsia="Times New Roman"/>
        </w:rPr>
        <w:t xml:space="preserve">: https://doi.org/10.1183/13993003.00391-2019. </w:t>
      </w:r>
    </w:p>
    <w:p w14:paraId="541A5AE6"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Marks SM, Mase SR, and Morris SB. Systematic review, meta-analysis, and cost-effectiveness of treatment of latent tuberculosis to reduce progression to multidrug-resistant tuberculosis. </w:t>
      </w:r>
      <w:r w:rsidRPr="0087487B">
        <w:rPr>
          <w:rStyle w:val="Emphasis"/>
          <w:rFonts w:eastAsia="Times New Roman"/>
          <w:b w:val="0"/>
          <w:bCs w:val="0"/>
        </w:rPr>
        <w:t>Clin Infect Dis</w:t>
      </w:r>
      <w:r w:rsidRPr="0087487B">
        <w:rPr>
          <w:rFonts w:eastAsia="Times New Roman"/>
        </w:rPr>
        <w:t xml:space="preserve">. 2017;64(12):1670–7. </w:t>
      </w:r>
      <w:proofErr w:type="spellStart"/>
      <w:r w:rsidRPr="0087487B">
        <w:rPr>
          <w:rFonts w:eastAsia="Times New Roman"/>
        </w:rPr>
        <w:t>doi</w:t>
      </w:r>
      <w:proofErr w:type="spellEnd"/>
      <w:r w:rsidRPr="0087487B">
        <w:rPr>
          <w:rFonts w:eastAsia="Times New Roman"/>
        </w:rPr>
        <w:t xml:space="preserve">: https://doi.org/10.1093/cid/cix208. </w:t>
      </w:r>
    </w:p>
    <w:p w14:paraId="121E0FC3"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Linh NN, </w:t>
      </w:r>
      <w:proofErr w:type="spellStart"/>
      <w:r w:rsidRPr="0087487B">
        <w:rPr>
          <w:rFonts w:eastAsia="Times New Roman"/>
        </w:rPr>
        <w:t>Viney</w:t>
      </w:r>
      <w:proofErr w:type="spellEnd"/>
      <w:r w:rsidRPr="0087487B">
        <w:rPr>
          <w:rFonts w:eastAsia="Times New Roman"/>
        </w:rPr>
        <w:t xml:space="preserve"> K, </w:t>
      </w:r>
      <w:proofErr w:type="spellStart"/>
      <w:r w:rsidRPr="0087487B">
        <w:rPr>
          <w:rFonts w:eastAsia="Times New Roman"/>
        </w:rPr>
        <w:t>Gegia</w:t>
      </w:r>
      <w:proofErr w:type="spellEnd"/>
      <w:r w:rsidRPr="0087487B">
        <w:rPr>
          <w:rFonts w:eastAsia="Times New Roman"/>
        </w:rPr>
        <w:t xml:space="preserve"> M, </w:t>
      </w:r>
      <w:proofErr w:type="spellStart"/>
      <w:r w:rsidRPr="0087487B">
        <w:rPr>
          <w:rFonts w:eastAsia="Times New Roman"/>
        </w:rPr>
        <w:t>Falzon</w:t>
      </w:r>
      <w:proofErr w:type="spellEnd"/>
      <w:r w:rsidRPr="0087487B">
        <w:rPr>
          <w:rFonts w:eastAsia="Times New Roman"/>
        </w:rPr>
        <w:t xml:space="preserve"> D, </w:t>
      </w:r>
      <w:proofErr w:type="spellStart"/>
      <w:r w:rsidRPr="0087487B">
        <w:rPr>
          <w:rFonts w:eastAsia="Times New Roman"/>
        </w:rPr>
        <w:t>Glaziou</w:t>
      </w:r>
      <w:proofErr w:type="spellEnd"/>
      <w:r w:rsidRPr="0087487B">
        <w:rPr>
          <w:rFonts w:eastAsia="Times New Roman"/>
        </w:rPr>
        <w:t xml:space="preserve"> P, Floyd K et al. World Health Organization treatment outcome definitions for tuberculosis: 2021 update. </w:t>
      </w:r>
      <w:proofErr w:type="spellStart"/>
      <w:r w:rsidRPr="0087487B">
        <w:rPr>
          <w:rStyle w:val="Emphasis"/>
          <w:rFonts w:eastAsia="Times New Roman"/>
          <w:b w:val="0"/>
          <w:bCs w:val="0"/>
        </w:rPr>
        <w:t>Eur</w:t>
      </w:r>
      <w:proofErr w:type="spellEnd"/>
      <w:r w:rsidRPr="0087487B">
        <w:rPr>
          <w:rStyle w:val="Emphasis"/>
          <w:rFonts w:eastAsia="Times New Roman"/>
          <w:b w:val="0"/>
          <w:bCs w:val="0"/>
        </w:rPr>
        <w:t xml:space="preserve"> Respir J</w:t>
      </w:r>
      <w:r w:rsidRPr="0087487B">
        <w:rPr>
          <w:rFonts w:eastAsia="Times New Roman"/>
        </w:rPr>
        <w:t xml:space="preserve">. 2021;58(2):2100804. </w:t>
      </w:r>
      <w:proofErr w:type="spellStart"/>
      <w:r w:rsidRPr="0087487B">
        <w:rPr>
          <w:rFonts w:eastAsia="Times New Roman"/>
        </w:rPr>
        <w:t>doi</w:t>
      </w:r>
      <w:proofErr w:type="spellEnd"/>
      <w:r w:rsidRPr="0087487B">
        <w:rPr>
          <w:rFonts w:eastAsia="Times New Roman"/>
        </w:rPr>
        <w:t xml:space="preserve">: https://doi.org/10.1183/13993003.00804-2021. </w:t>
      </w:r>
    </w:p>
    <w:p w14:paraId="264F5607"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Fox GJ, Menzies D. A review of the evidence for using </w:t>
      </w:r>
      <w:proofErr w:type="spellStart"/>
      <w:r w:rsidRPr="0087487B">
        <w:rPr>
          <w:rFonts w:eastAsia="Times New Roman"/>
        </w:rPr>
        <w:t>bedaquiline</w:t>
      </w:r>
      <w:proofErr w:type="spellEnd"/>
      <w:r w:rsidRPr="0087487B">
        <w:rPr>
          <w:rFonts w:eastAsia="Times New Roman"/>
        </w:rPr>
        <w:t xml:space="preserve"> (TMC207) to treat multi-drug resistant tuberculosis. </w:t>
      </w:r>
      <w:r w:rsidRPr="0087487B">
        <w:rPr>
          <w:rStyle w:val="Emphasis"/>
          <w:rFonts w:eastAsia="Times New Roman"/>
          <w:b w:val="0"/>
          <w:bCs w:val="0"/>
        </w:rPr>
        <w:t xml:space="preserve">Infect Dis </w:t>
      </w:r>
      <w:proofErr w:type="spellStart"/>
      <w:r w:rsidRPr="0087487B">
        <w:rPr>
          <w:rStyle w:val="Emphasis"/>
          <w:rFonts w:eastAsia="Times New Roman"/>
          <w:b w:val="0"/>
          <w:bCs w:val="0"/>
        </w:rPr>
        <w:t>Ther</w:t>
      </w:r>
      <w:proofErr w:type="spellEnd"/>
      <w:r w:rsidRPr="0087487B">
        <w:rPr>
          <w:rFonts w:eastAsia="Times New Roman"/>
        </w:rPr>
        <w:t xml:space="preserve">. 2013;2(2):123–44. </w:t>
      </w:r>
      <w:proofErr w:type="spellStart"/>
      <w:r w:rsidRPr="0087487B">
        <w:rPr>
          <w:rFonts w:eastAsia="Times New Roman"/>
        </w:rPr>
        <w:t>doi</w:t>
      </w:r>
      <w:proofErr w:type="spellEnd"/>
      <w:r w:rsidRPr="0087487B">
        <w:rPr>
          <w:rFonts w:eastAsia="Times New Roman"/>
        </w:rPr>
        <w:t xml:space="preserve">: https://doi.org/10.1007/s40121-013-0009-3. </w:t>
      </w:r>
    </w:p>
    <w:p w14:paraId="4CA40822" w14:textId="77777777" w:rsidR="00F605B4" w:rsidRPr="0087487B" w:rsidRDefault="00F605B4" w:rsidP="00934C63">
      <w:pPr>
        <w:pStyle w:val="ListParagraph"/>
        <w:numPr>
          <w:ilvl w:val="0"/>
          <w:numId w:val="28"/>
        </w:numPr>
        <w:divId w:val="448665177"/>
        <w:rPr>
          <w:rFonts w:eastAsia="Times New Roman"/>
        </w:rPr>
      </w:pPr>
      <w:r w:rsidRPr="0087487B">
        <w:rPr>
          <w:rFonts w:eastAsia="Times New Roman"/>
        </w:rPr>
        <w:t xml:space="preserve">De Bus L, </w:t>
      </w:r>
      <w:proofErr w:type="spellStart"/>
      <w:r w:rsidRPr="0087487B">
        <w:rPr>
          <w:rFonts w:eastAsia="Times New Roman"/>
        </w:rPr>
        <w:t>Depuydt</w:t>
      </w:r>
      <w:proofErr w:type="spellEnd"/>
      <w:r w:rsidRPr="0087487B">
        <w:rPr>
          <w:rFonts w:eastAsia="Times New Roman"/>
        </w:rPr>
        <w:t xml:space="preserve"> P, Libbrecht L, </w:t>
      </w:r>
      <w:proofErr w:type="spellStart"/>
      <w:r w:rsidRPr="0087487B">
        <w:rPr>
          <w:rFonts w:eastAsia="Times New Roman"/>
        </w:rPr>
        <w:t>Vandekerckhove</w:t>
      </w:r>
      <w:proofErr w:type="spellEnd"/>
      <w:r w:rsidRPr="0087487B">
        <w:rPr>
          <w:rFonts w:eastAsia="Times New Roman"/>
        </w:rPr>
        <w:t xml:space="preserve"> L, </w:t>
      </w:r>
      <w:proofErr w:type="spellStart"/>
      <w:r w:rsidRPr="0087487B">
        <w:rPr>
          <w:rFonts w:eastAsia="Times New Roman"/>
        </w:rPr>
        <w:t>Nollet</w:t>
      </w:r>
      <w:proofErr w:type="spellEnd"/>
      <w:r w:rsidRPr="0087487B">
        <w:rPr>
          <w:rFonts w:eastAsia="Times New Roman"/>
        </w:rPr>
        <w:t xml:space="preserve"> J, Benoit D et al. Severe drug-induced liver injury associated with prolonged use of linezolid. </w:t>
      </w:r>
      <w:r w:rsidRPr="0087487B">
        <w:rPr>
          <w:rStyle w:val="Emphasis"/>
          <w:rFonts w:eastAsia="Times New Roman"/>
          <w:b w:val="0"/>
          <w:bCs w:val="0"/>
        </w:rPr>
        <w:t xml:space="preserve">J Med </w:t>
      </w:r>
      <w:proofErr w:type="spellStart"/>
      <w:r w:rsidRPr="0087487B">
        <w:rPr>
          <w:rStyle w:val="Emphasis"/>
          <w:rFonts w:eastAsia="Times New Roman"/>
          <w:b w:val="0"/>
          <w:bCs w:val="0"/>
        </w:rPr>
        <w:t>Toxicol</w:t>
      </w:r>
      <w:proofErr w:type="spellEnd"/>
      <w:r w:rsidRPr="0087487B">
        <w:rPr>
          <w:rFonts w:eastAsia="Times New Roman"/>
        </w:rPr>
        <w:t xml:space="preserve">. 2010;6(3):322–6. </w:t>
      </w:r>
      <w:proofErr w:type="spellStart"/>
      <w:r w:rsidRPr="0087487B">
        <w:rPr>
          <w:rFonts w:eastAsia="Times New Roman"/>
        </w:rPr>
        <w:t>doi</w:t>
      </w:r>
      <w:proofErr w:type="spellEnd"/>
      <w:r w:rsidRPr="0087487B">
        <w:rPr>
          <w:rFonts w:eastAsia="Times New Roman"/>
        </w:rPr>
        <w:t xml:space="preserve">: https://doi.org/10.1007/s13181-010-0047-0. </w:t>
      </w:r>
    </w:p>
    <w:p w14:paraId="4BD8E607" w14:textId="77777777" w:rsidR="00F605B4" w:rsidRPr="0087487B" w:rsidRDefault="00F605B4" w:rsidP="00934C63">
      <w:pPr>
        <w:pStyle w:val="ListParagraph"/>
        <w:numPr>
          <w:ilvl w:val="0"/>
          <w:numId w:val="28"/>
        </w:numPr>
        <w:divId w:val="448665177"/>
        <w:rPr>
          <w:rFonts w:eastAsia="Times New Roman"/>
        </w:rPr>
      </w:pPr>
      <w:proofErr w:type="spellStart"/>
      <w:r w:rsidRPr="0087487B">
        <w:rPr>
          <w:rFonts w:eastAsia="Times New Roman"/>
        </w:rPr>
        <w:lastRenderedPageBreak/>
        <w:t>Luque</w:t>
      </w:r>
      <w:proofErr w:type="spellEnd"/>
      <w:r w:rsidRPr="0087487B">
        <w:rPr>
          <w:rFonts w:eastAsia="Times New Roman"/>
        </w:rPr>
        <w:t xml:space="preserve"> S, Muñoz-Bermudez R, </w:t>
      </w:r>
      <w:proofErr w:type="spellStart"/>
      <w:r w:rsidRPr="0087487B">
        <w:rPr>
          <w:rFonts w:eastAsia="Times New Roman"/>
        </w:rPr>
        <w:t>Echeverría-Esnal</w:t>
      </w:r>
      <w:proofErr w:type="spellEnd"/>
      <w:r w:rsidRPr="0087487B">
        <w:rPr>
          <w:rFonts w:eastAsia="Times New Roman"/>
        </w:rPr>
        <w:t xml:space="preserve"> D, </w:t>
      </w:r>
      <w:proofErr w:type="spellStart"/>
      <w:r w:rsidRPr="0087487B">
        <w:rPr>
          <w:rFonts w:eastAsia="Times New Roman"/>
        </w:rPr>
        <w:t>Sorli</w:t>
      </w:r>
      <w:proofErr w:type="spellEnd"/>
      <w:r w:rsidRPr="0087487B">
        <w:rPr>
          <w:rFonts w:eastAsia="Times New Roman"/>
        </w:rPr>
        <w:t xml:space="preserve"> L, </w:t>
      </w:r>
      <w:proofErr w:type="spellStart"/>
      <w:r w:rsidRPr="0087487B">
        <w:rPr>
          <w:rFonts w:eastAsia="Times New Roman"/>
        </w:rPr>
        <w:t>Campillo</w:t>
      </w:r>
      <w:proofErr w:type="spellEnd"/>
      <w:r w:rsidRPr="0087487B">
        <w:rPr>
          <w:rFonts w:eastAsia="Times New Roman"/>
        </w:rPr>
        <w:t xml:space="preserve"> N, Martínez-Casanova J et al. Linezolid dosing in patients with liver cirrhosis: standard dosing risk toxicity. </w:t>
      </w:r>
      <w:proofErr w:type="spellStart"/>
      <w:r w:rsidRPr="0087487B">
        <w:rPr>
          <w:rStyle w:val="Emphasis"/>
          <w:rFonts w:eastAsia="Times New Roman"/>
          <w:b w:val="0"/>
          <w:bCs w:val="0"/>
        </w:rPr>
        <w:t>Ther</w:t>
      </w:r>
      <w:proofErr w:type="spellEnd"/>
      <w:r w:rsidRPr="0087487B">
        <w:rPr>
          <w:rStyle w:val="Emphasis"/>
          <w:rFonts w:eastAsia="Times New Roman"/>
          <w:b w:val="0"/>
          <w:bCs w:val="0"/>
        </w:rPr>
        <w:t xml:space="preserve"> Drug </w:t>
      </w:r>
      <w:proofErr w:type="spellStart"/>
      <w:r w:rsidRPr="0087487B">
        <w:rPr>
          <w:rStyle w:val="Emphasis"/>
          <w:rFonts w:eastAsia="Times New Roman"/>
          <w:b w:val="0"/>
          <w:bCs w:val="0"/>
        </w:rPr>
        <w:t>Monit</w:t>
      </w:r>
      <w:proofErr w:type="spellEnd"/>
      <w:r w:rsidRPr="0087487B">
        <w:rPr>
          <w:rFonts w:eastAsia="Times New Roman"/>
        </w:rPr>
        <w:t xml:space="preserve">. 2019;41(6):732–9. </w:t>
      </w:r>
      <w:proofErr w:type="spellStart"/>
      <w:r w:rsidRPr="0087487B">
        <w:rPr>
          <w:rFonts w:eastAsia="Times New Roman"/>
        </w:rPr>
        <w:t>doi</w:t>
      </w:r>
      <w:proofErr w:type="spellEnd"/>
      <w:r w:rsidRPr="0087487B">
        <w:rPr>
          <w:rFonts w:eastAsia="Times New Roman"/>
        </w:rPr>
        <w:t xml:space="preserve">: https://doi.org/10.1097/FTD.0000000000000665. </w:t>
      </w:r>
    </w:p>
    <w:p w14:paraId="5AFD870A" w14:textId="77777777" w:rsidR="00F605B4" w:rsidRPr="0087487B" w:rsidRDefault="00F605B4" w:rsidP="00112785">
      <w:pPr>
        <w:pStyle w:val="Heading1"/>
        <w:divId w:val="448665177"/>
      </w:pPr>
      <w:r w:rsidRPr="0087487B">
        <w:t xml:space="preserve">Appendix A </w:t>
      </w:r>
    </w:p>
    <w:p w14:paraId="4B326512" w14:textId="77777777" w:rsidR="00F605B4" w:rsidRPr="0087487B" w:rsidRDefault="00F605B4" w:rsidP="00112785">
      <w:pPr>
        <w:divId w:val="448665177"/>
      </w:pPr>
      <w:r w:rsidRPr="0087487B">
        <w:t>A.1. Web annexes. In: WHO operational handbook on tuberculosis. Module 4: treatment - drug-resistant tuberculosis treatment, 2022 update. Geneva: World Health Organization; 2022.</w:t>
      </w:r>
      <w:r w:rsidRPr="0087487B">
        <w:rPr>
          <w:vertAlign w:val="superscript"/>
        </w:rPr>
        <w:t>32</w:t>
      </w:r>
      <w:r w:rsidRPr="0087487B">
        <w:t xml:space="preserve"> Available at: https://www.who.int/publications/i/item/9789240065116. </w:t>
      </w:r>
    </w:p>
    <w:p w14:paraId="675C4698" w14:textId="77777777" w:rsidR="00F605B4" w:rsidRPr="0087487B" w:rsidRDefault="00F605B4" w:rsidP="00934C63">
      <w:pPr>
        <w:pStyle w:val="ListParagraph"/>
        <w:numPr>
          <w:ilvl w:val="0"/>
          <w:numId w:val="29"/>
        </w:numPr>
        <w:divId w:val="448665177"/>
        <w:rPr>
          <w:rFonts w:eastAsia="Times New Roman"/>
        </w:rPr>
      </w:pPr>
      <w:r w:rsidRPr="0087487B">
        <w:rPr>
          <w:rFonts w:eastAsia="Times New Roman"/>
        </w:rPr>
        <w:t xml:space="preserve">Web annex </w:t>
      </w:r>
      <w:proofErr w:type="gramStart"/>
      <w:r w:rsidRPr="0087487B">
        <w:rPr>
          <w:rFonts w:eastAsia="Times New Roman"/>
        </w:rPr>
        <w:t>1</w:t>
      </w:r>
      <w:proofErr w:type="gramEnd"/>
      <w:r w:rsidRPr="0087487B">
        <w:rPr>
          <w:rFonts w:eastAsia="Times New Roman"/>
        </w:rPr>
        <w:t xml:space="preserve">. Tuberculosis medicines – information sheets </w:t>
      </w:r>
    </w:p>
    <w:p w14:paraId="5A0D1400" w14:textId="77777777" w:rsidR="00F605B4" w:rsidRPr="0087487B" w:rsidRDefault="00F605B4" w:rsidP="00934C63">
      <w:pPr>
        <w:pStyle w:val="ListParagraph"/>
        <w:numPr>
          <w:ilvl w:val="0"/>
          <w:numId w:val="29"/>
        </w:numPr>
        <w:divId w:val="448665177"/>
        <w:rPr>
          <w:rFonts w:eastAsia="Times New Roman"/>
        </w:rPr>
      </w:pPr>
      <w:r w:rsidRPr="0087487B">
        <w:rPr>
          <w:rFonts w:eastAsia="Times New Roman"/>
        </w:rPr>
        <w:t xml:space="preserve">Web annex </w:t>
      </w:r>
      <w:proofErr w:type="gramStart"/>
      <w:r w:rsidRPr="0087487B">
        <w:rPr>
          <w:rFonts w:eastAsia="Times New Roman"/>
        </w:rPr>
        <w:t>2</w:t>
      </w:r>
      <w:proofErr w:type="gramEnd"/>
      <w:r w:rsidRPr="0087487B">
        <w:rPr>
          <w:rFonts w:eastAsia="Times New Roman"/>
        </w:rPr>
        <w:t xml:space="preserve">. Management of adverse events in MDR-/RR-TB treatment </w:t>
      </w:r>
    </w:p>
    <w:p w14:paraId="42C53B96" w14:textId="77777777" w:rsidR="00F605B4" w:rsidRPr="0087487B" w:rsidRDefault="00F605B4" w:rsidP="00112785">
      <w:pPr>
        <w:divId w:val="448665177"/>
      </w:pPr>
      <w:r w:rsidRPr="0087487B">
        <w:t xml:space="preserve">A.2. Dosing of medications used in drug-resistant TB regimens (adults and children) </w:t>
      </w:r>
    </w:p>
    <w:p w14:paraId="238BBF70" w14:textId="77777777" w:rsidR="00F605B4" w:rsidRPr="0087487B" w:rsidRDefault="00F605B4" w:rsidP="00112785">
      <w:pPr>
        <w:divId w:val="448665177"/>
      </w:pPr>
      <w:r w:rsidRPr="0087487B">
        <w:t xml:space="preserve">A.3. Recommended monitoring </w:t>
      </w:r>
      <w:proofErr w:type="gramStart"/>
      <w:r w:rsidRPr="0087487B">
        <w:t>schedule</w:t>
      </w:r>
      <w:proofErr w:type="gramEnd"/>
      <w:r w:rsidRPr="0087487B">
        <w:t xml:space="preserve"> </w:t>
      </w:r>
    </w:p>
    <w:p w14:paraId="433BEC47" w14:textId="77777777" w:rsidR="00F605B4" w:rsidRPr="0087487B" w:rsidRDefault="00F605B4" w:rsidP="00112785">
      <w:pPr>
        <w:divId w:val="448665177"/>
      </w:pPr>
      <w:r w:rsidRPr="0087487B">
        <w:t xml:space="preserve">A.4. MDR drugs in pregnancy </w:t>
      </w:r>
    </w:p>
    <w:p w14:paraId="6CE4294C" w14:textId="77777777" w:rsidR="00F605B4" w:rsidRPr="0087487B" w:rsidRDefault="00F605B4" w:rsidP="00112785">
      <w:pPr>
        <w:divId w:val="448665177"/>
      </w:pPr>
      <w:r w:rsidRPr="0087487B">
        <w:t xml:space="preserve">A.5. MDR drugs in liver disease </w:t>
      </w:r>
    </w:p>
    <w:p w14:paraId="081129B8" w14:textId="77777777" w:rsidR="00F605B4" w:rsidRPr="0087487B" w:rsidRDefault="00F605B4" w:rsidP="00112785">
      <w:pPr>
        <w:divId w:val="448665177"/>
      </w:pPr>
      <w:r w:rsidRPr="0087487B">
        <w:t>A.6. MDR drugs in renal disease</w:t>
      </w:r>
    </w:p>
    <w:p w14:paraId="157A3AE8" w14:textId="28887651" w:rsidR="00F605B4" w:rsidRPr="0087487B" w:rsidRDefault="00F605B4" w:rsidP="00112785">
      <w:pPr>
        <w:pStyle w:val="Heading1"/>
        <w:divId w:val="448665177"/>
        <w:rPr>
          <w:rFonts w:eastAsia="Times New Roman"/>
        </w:rPr>
      </w:pPr>
      <w:bookmarkStart w:id="7" w:name="_Hlk147996385"/>
      <w:r w:rsidRPr="0087487B">
        <w:rPr>
          <w:rFonts w:eastAsia="Times New Roman"/>
        </w:rPr>
        <w:t xml:space="preserve">Appendix A.2: Dosing of medications used in drug-resistant TB regimens (adults and children &lt; 15 years of </w:t>
      </w:r>
      <w:r w:rsidR="006127C5" w:rsidRPr="0087487B">
        <w:rPr>
          <w:rFonts w:eastAsia="Times New Roman"/>
        </w:rPr>
        <w:t>age)</w:t>
      </w:r>
      <w:bookmarkEnd w:id="7"/>
      <w:r w:rsidR="006127C5" w:rsidRPr="0087487B">
        <w:rPr>
          <w:rFonts w:eastAsia="Times New Roman"/>
          <w:vertAlign w:val="superscript"/>
        </w:rPr>
        <w:t xml:space="preserve"> a</w:t>
      </w:r>
    </w:p>
    <w:p w14:paraId="6CD83C6A" w14:textId="77777777" w:rsidR="00A6579F" w:rsidRPr="0087487B" w:rsidRDefault="00A6579F" w:rsidP="00A6579F">
      <w:pPr>
        <w:pStyle w:val="Heading1"/>
        <w:divId w:val="448665177"/>
      </w:pPr>
    </w:p>
    <w:tbl>
      <w:tblPr>
        <w:tblStyle w:val="CDI-StandardTable"/>
        <w:tblW w:w="0" w:type="auto"/>
        <w:tblLook w:val="04A0" w:firstRow="1" w:lastRow="0" w:firstColumn="1" w:lastColumn="0" w:noHBand="0" w:noVBand="1"/>
        <w:tblDescription w:val="A table summarising dosing recommendations, in mg/kg/day and listing also maximum daily doses, for adults and for children less than 15 years of age, for the following medications: levofloxacin; moxifloxacin; bedaquiline; linezolid; pretomanid; clofazimine; cycloserine; ethambutol; pyrazinamide; delamanid; amikacin (or streptomycin); carbapenem (combined with clavulanic acid), where carbapenem is either meropenem or imipenem-cilastatin; ethio- or prothionamide; PAS; or isoniazid (high dose)."/>
      </w:tblPr>
      <w:tblGrid>
        <w:gridCol w:w="1529"/>
        <w:gridCol w:w="1306"/>
        <w:gridCol w:w="993"/>
        <w:gridCol w:w="1417"/>
        <w:gridCol w:w="1843"/>
        <w:gridCol w:w="1559"/>
        <w:gridCol w:w="1819"/>
      </w:tblGrid>
      <w:tr w:rsidR="00A6579F" w:rsidRPr="0087487B" w14:paraId="7BC60A0F" w14:textId="77777777" w:rsidTr="00A6579F">
        <w:trPr>
          <w:cnfStyle w:val="100000000000" w:firstRow="1" w:lastRow="0" w:firstColumn="0" w:lastColumn="0" w:oddVBand="0" w:evenVBand="0" w:oddHBand="0" w:evenHBand="0" w:firstRowFirstColumn="0" w:firstRowLastColumn="0" w:lastRowFirstColumn="0" w:lastRowLastColumn="0"/>
          <w:divId w:val="448665177"/>
          <w:tblHeader/>
        </w:trPr>
        <w:tc>
          <w:tcPr>
            <w:tcW w:w="0" w:type="auto"/>
            <w:vMerge w:val="restart"/>
            <w:hideMark/>
          </w:tcPr>
          <w:p w14:paraId="3E92B0F5" w14:textId="77777777" w:rsidR="00A6579F" w:rsidRPr="0087487B" w:rsidRDefault="00A6579F" w:rsidP="00314B37">
            <w:pPr>
              <w:pStyle w:val="NormalWeb"/>
              <w:rPr>
                <w:sz w:val="18"/>
                <w:szCs w:val="18"/>
              </w:rPr>
            </w:pPr>
            <w:r w:rsidRPr="0087487B">
              <w:rPr>
                <w:sz w:val="18"/>
                <w:szCs w:val="18"/>
              </w:rPr>
              <w:t>Drug</w:t>
            </w:r>
          </w:p>
        </w:tc>
        <w:tc>
          <w:tcPr>
            <w:tcW w:w="1306" w:type="dxa"/>
            <w:vMerge w:val="restart"/>
            <w:hideMark/>
          </w:tcPr>
          <w:p w14:paraId="1C9B89FD" w14:textId="77777777" w:rsidR="00A6579F" w:rsidRPr="0087487B" w:rsidRDefault="00A6579F" w:rsidP="00314B37">
            <w:pPr>
              <w:pStyle w:val="NormalWeb"/>
              <w:rPr>
                <w:sz w:val="18"/>
                <w:szCs w:val="18"/>
              </w:rPr>
            </w:pPr>
            <w:r w:rsidRPr="0087487B">
              <w:rPr>
                <w:sz w:val="18"/>
                <w:szCs w:val="18"/>
              </w:rPr>
              <w:t>Route</w:t>
            </w:r>
          </w:p>
        </w:tc>
        <w:tc>
          <w:tcPr>
            <w:tcW w:w="2410" w:type="dxa"/>
            <w:gridSpan w:val="2"/>
            <w:hideMark/>
          </w:tcPr>
          <w:p w14:paraId="1609605E" w14:textId="77777777" w:rsidR="00A6579F" w:rsidRPr="0087487B" w:rsidRDefault="00A6579F" w:rsidP="00314B37">
            <w:pPr>
              <w:pStyle w:val="NormalWeb"/>
              <w:rPr>
                <w:sz w:val="18"/>
                <w:szCs w:val="18"/>
              </w:rPr>
            </w:pPr>
            <w:r w:rsidRPr="0087487B">
              <w:rPr>
                <w:sz w:val="18"/>
                <w:szCs w:val="18"/>
              </w:rPr>
              <w:t xml:space="preserve">Adult </w:t>
            </w:r>
            <w:proofErr w:type="spellStart"/>
            <w:r w:rsidRPr="0087487B">
              <w:rPr>
                <w:sz w:val="18"/>
                <w:szCs w:val="18"/>
              </w:rPr>
              <w:t>dose</w:t>
            </w:r>
            <w:r w:rsidRPr="0087487B">
              <w:rPr>
                <w:sz w:val="18"/>
                <w:szCs w:val="18"/>
                <w:vertAlign w:val="superscript"/>
              </w:rPr>
              <w:t>b</w:t>
            </w:r>
            <w:proofErr w:type="spellEnd"/>
          </w:p>
        </w:tc>
        <w:tc>
          <w:tcPr>
            <w:tcW w:w="3402" w:type="dxa"/>
            <w:gridSpan w:val="2"/>
            <w:hideMark/>
          </w:tcPr>
          <w:p w14:paraId="00C2A522" w14:textId="77777777" w:rsidR="00A6579F" w:rsidRPr="0087487B" w:rsidRDefault="00A6579F" w:rsidP="00314B37">
            <w:pPr>
              <w:pStyle w:val="NormalWeb"/>
              <w:rPr>
                <w:sz w:val="18"/>
                <w:szCs w:val="18"/>
              </w:rPr>
            </w:pPr>
            <w:r w:rsidRPr="0087487B">
              <w:rPr>
                <w:sz w:val="18"/>
                <w:szCs w:val="18"/>
              </w:rPr>
              <w:t xml:space="preserve">Children &lt; 15 </w:t>
            </w:r>
            <w:proofErr w:type="spellStart"/>
            <w:r w:rsidRPr="0087487B">
              <w:rPr>
                <w:sz w:val="18"/>
                <w:szCs w:val="18"/>
              </w:rPr>
              <w:t>years</w:t>
            </w:r>
            <w:r w:rsidRPr="0087487B">
              <w:rPr>
                <w:sz w:val="18"/>
                <w:szCs w:val="18"/>
                <w:vertAlign w:val="superscript"/>
              </w:rPr>
              <w:t>c</w:t>
            </w:r>
            <w:proofErr w:type="spellEnd"/>
          </w:p>
        </w:tc>
        <w:tc>
          <w:tcPr>
            <w:tcW w:w="1819" w:type="dxa"/>
            <w:vMerge w:val="restart"/>
            <w:hideMark/>
          </w:tcPr>
          <w:p w14:paraId="4645B88E" w14:textId="77777777" w:rsidR="00A6579F" w:rsidRPr="0087487B" w:rsidRDefault="00A6579F" w:rsidP="00314B37">
            <w:pPr>
              <w:pStyle w:val="NormalWeb"/>
              <w:rPr>
                <w:sz w:val="18"/>
                <w:szCs w:val="18"/>
              </w:rPr>
            </w:pPr>
            <w:r w:rsidRPr="0087487B">
              <w:rPr>
                <w:sz w:val="18"/>
                <w:szCs w:val="18"/>
              </w:rPr>
              <w:t>Comments</w:t>
            </w:r>
          </w:p>
        </w:tc>
      </w:tr>
      <w:tr w:rsidR="00A6579F" w:rsidRPr="0087487B" w14:paraId="7A4E3D63" w14:textId="77777777" w:rsidTr="00A6579F">
        <w:trPr>
          <w:cnfStyle w:val="100000000000" w:firstRow="1" w:lastRow="0" w:firstColumn="0" w:lastColumn="0" w:oddVBand="0" w:evenVBand="0" w:oddHBand="0" w:evenHBand="0" w:firstRowFirstColumn="0" w:firstRowLastColumn="0" w:lastRowFirstColumn="0" w:lastRowLastColumn="0"/>
          <w:divId w:val="448665177"/>
          <w:tblHeader/>
        </w:trPr>
        <w:tc>
          <w:tcPr>
            <w:tcW w:w="0" w:type="auto"/>
            <w:vMerge/>
            <w:hideMark/>
          </w:tcPr>
          <w:p w14:paraId="777CCB05" w14:textId="77777777" w:rsidR="00A6579F" w:rsidRPr="0087487B" w:rsidRDefault="00A6579F" w:rsidP="00314B37">
            <w:pPr>
              <w:rPr>
                <w:sz w:val="18"/>
                <w:szCs w:val="18"/>
              </w:rPr>
            </w:pPr>
          </w:p>
        </w:tc>
        <w:tc>
          <w:tcPr>
            <w:tcW w:w="1306" w:type="dxa"/>
            <w:vMerge/>
            <w:hideMark/>
          </w:tcPr>
          <w:p w14:paraId="09857C7A" w14:textId="77777777" w:rsidR="00A6579F" w:rsidRPr="0087487B" w:rsidRDefault="00A6579F" w:rsidP="00314B37">
            <w:pPr>
              <w:rPr>
                <w:sz w:val="18"/>
                <w:szCs w:val="18"/>
              </w:rPr>
            </w:pPr>
          </w:p>
        </w:tc>
        <w:tc>
          <w:tcPr>
            <w:tcW w:w="993" w:type="dxa"/>
            <w:hideMark/>
          </w:tcPr>
          <w:p w14:paraId="6104F8F5" w14:textId="77777777" w:rsidR="00A6579F" w:rsidRPr="0087487B" w:rsidRDefault="00A6579F" w:rsidP="00314B37">
            <w:pPr>
              <w:pStyle w:val="NormalWeb"/>
              <w:rPr>
                <w:sz w:val="18"/>
                <w:szCs w:val="18"/>
              </w:rPr>
            </w:pPr>
            <w:r w:rsidRPr="0087487B">
              <w:rPr>
                <w:sz w:val="18"/>
                <w:szCs w:val="18"/>
              </w:rPr>
              <w:t>Mg/kg/day</w:t>
            </w:r>
          </w:p>
        </w:tc>
        <w:tc>
          <w:tcPr>
            <w:tcW w:w="1417" w:type="dxa"/>
            <w:hideMark/>
          </w:tcPr>
          <w:p w14:paraId="16CFC864" w14:textId="77777777" w:rsidR="00A6579F" w:rsidRPr="0087487B" w:rsidRDefault="00A6579F" w:rsidP="00314B37">
            <w:pPr>
              <w:pStyle w:val="NormalWeb"/>
              <w:rPr>
                <w:sz w:val="18"/>
                <w:szCs w:val="18"/>
              </w:rPr>
            </w:pPr>
            <w:r w:rsidRPr="0087487B">
              <w:rPr>
                <w:sz w:val="18"/>
                <w:szCs w:val="18"/>
              </w:rPr>
              <w:t>Daily dose (max)</w:t>
            </w:r>
          </w:p>
        </w:tc>
        <w:tc>
          <w:tcPr>
            <w:tcW w:w="1843" w:type="dxa"/>
            <w:hideMark/>
          </w:tcPr>
          <w:p w14:paraId="3C4761B2" w14:textId="77777777" w:rsidR="00A6579F" w:rsidRPr="0087487B" w:rsidRDefault="00A6579F" w:rsidP="00314B37">
            <w:pPr>
              <w:pStyle w:val="NormalWeb"/>
              <w:rPr>
                <w:sz w:val="18"/>
                <w:szCs w:val="18"/>
              </w:rPr>
            </w:pPr>
            <w:r w:rsidRPr="0087487B">
              <w:rPr>
                <w:sz w:val="18"/>
                <w:szCs w:val="18"/>
              </w:rPr>
              <w:t>Available preparations</w:t>
            </w:r>
          </w:p>
        </w:tc>
        <w:tc>
          <w:tcPr>
            <w:tcW w:w="1559" w:type="dxa"/>
            <w:hideMark/>
          </w:tcPr>
          <w:p w14:paraId="197BBA70" w14:textId="77777777" w:rsidR="00A6579F" w:rsidRPr="0087487B" w:rsidRDefault="00A6579F" w:rsidP="00314B37">
            <w:pPr>
              <w:pStyle w:val="NormalWeb"/>
              <w:rPr>
                <w:sz w:val="18"/>
                <w:szCs w:val="18"/>
              </w:rPr>
            </w:pPr>
            <w:r w:rsidRPr="0087487B">
              <w:rPr>
                <w:sz w:val="18"/>
                <w:szCs w:val="18"/>
              </w:rPr>
              <w:t>Dose mg/kg/day</w:t>
            </w:r>
          </w:p>
        </w:tc>
        <w:tc>
          <w:tcPr>
            <w:tcW w:w="1819" w:type="dxa"/>
            <w:vMerge/>
            <w:hideMark/>
          </w:tcPr>
          <w:p w14:paraId="3AAC2D2F" w14:textId="77777777" w:rsidR="00A6579F" w:rsidRPr="0087487B" w:rsidRDefault="00A6579F" w:rsidP="00314B37">
            <w:pPr>
              <w:rPr>
                <w:sz w:val="18"/>
                <w:szCs w:val="18"/>
              </w:rPr>
            </w:pPr>
          </w:p>
        </w:tc>
      </w:tr>
      <w:tr w:rsidR="00A6579F" w:rsidRPr="0087487B" w14:paraId="0A619C50" w14:textId="77777777" w:rsidTr="00A6579F">
        <w:trPr>
          <w:divId w:val="448665177"/>
        </w:trPr>
        <w:tc>
          <w:tcPr>
            <w:tcW w:w="0" w:type="auto"/>
            <w:hideMark/>
          </w:tcPr>
          <w:p w14:paraId="2695EC96" w14:textId="77777777" w:rsidR="00A6579F" w:rsidRPr="0087487B" w:rsidRDefault="00A6579F" w:rsidP="00314B37">
            <w:pPr>
              <w:pStyle w:val="NormalWeb"/>
              <w:rPr>
                <w:b/>
                <w:sz w:val="18"/>
                <w:szCs w:val="18"/>
              </w:rPr>
            </w:pPr>
            <w:r w:rsidRPr="0087487B">
              <w:rPr>
                <w:b/>
                <w:sz w:val="18"/>
                <w:szCs w:val="18"/>
              </w:rPr>
              <w:t>Levofloxacin</w:t>
            </w:r>
          </w:p>
        </w:tc>
        <w:tc>
          <w:tcPr>
            <w:tcW w:w="1306" w:type="dxa"/>
            <w:hideMark/>
          </w:tcPr>
          <w:p w14:paraId="60A20670" w14:textId="77777777" w:rsidR="00A6579F" w:rsidRPr="0087487B" w:rsidRDefault="00A6579F" w:rsidP="00314B37">
            <w:pPr>
              <w:pStyle w:val="NormalWeb"/>
              <w:rPr>
                <w:sz w:val="18"/>
                <w:szCs w:val="18"/>
              </w:rPr>
            </w:pPr>
            <w:r w:rsidRPr="0087487B">
              <w:rPr>
                <w:sz w:val="18"/>
                <w:szCs w:val="18"/>
              </w:rPr>
              <w:t>Oral or IV</w:t>
            </w:r>
          </w:p>
        </w:tc>
        <w:tc>
          <w:tcPr>
            <w:tcW w:w="993" w:type="dxa"/>
            <w:hideMark/>
          </w:tcPr>
          <w:p w14:paraId="42DDEF9F" w14:textId="77777777" w:rsidR="00A6579F" w:rsidRPr="0087487B" w:rsidRDefault="00A6579F" w:rsidP="00314B37">
            <w:pPr>
              <w:rPr>
                <w:sz w:val="18"/>
                <w:szCs w:val="18"/>
              </w:rPr>
            </w:pPr>
          </w:p>
        </w:tc>
        <w:tc>
          <w:tcPr>
            <w:tcW w:w="1417" w:type="dxa"/>
            <w:hideMark/>
          </w:tcPr>
          <w:p w14:paraId="573E870B" w14:textId="77777777" w:rsidR="00A6579F" w:rsidRPr="0087487B" w:rsidRDefault="00A6579F" w:rsidP="00314B37">
            <w:pPr>
              <w:pStyle w:val="NormalWeb"/>
              <w:rPr>
                <w:sz w:val="18"/>
                <w:szCs w:val="18"/>
              </w:rPr>
            </w:pPr>
            <w:r w:rsidRPr="0087487B">
              <w:rPr>
                <w:sz w:val="18"/>
                <w:szCs w:val="18"/>
              </w:rPr>
              <w:t>&lt; 46 kg 750 mg</w:t>
            </w:r>
            <w:r w:rsidRPr="0087487B">
              <w:rPr>
                <w:sz w:val="18"/>
                <w:szCs w:val="18"/>
              </w:rPr>
              <w:br/>
              <w:t>≥ 46 kg 1000 mg</w:t>
            </w:r>
          </w:p>
        </w:tc>
        <w:tc>
          <w:tcPr>
            <w:tcW w:w="1843" w:type="dxa"/>
            <w:hideMark/>
          </w:tcPr>
          <w:p w14:paraId="14CF9A80" w14:textId="77777777" w:rsidR="00A6579F" w:rsidRPr="0087487B" w:rsidRDefault="00A6579F" w:rsidP="00314B37">
            <w:pPr>
              <w:pStyle w:val="NormalWeb"/>
              <w:rPr>
                <w:sz w:val="18"/>
                <w:szCs w:val="18"/>
              </w:rPr>
            </w:pPr>
            <w:r w:rsidRPr="0087487B">
              <w:rPr>
                <w:sz w:val="18"/>
                <w:szCs w:val="18"/>
              </w:rPr>
              <w:t>100 mg scored, dispersible tab</w:t>
            </w:r>
            <w:r w:rsidRPr="0087487B">
              <w:rPr>
                <w:sz w:val="18"/>
                <w:szCs w:val="18"/>
              </w:rPr>
              <w:br/>
              <w:t>250 mg tab</w:t>
            </w:r>
            <w:r w:rsidRPr="0087487B">
              <w:rPr>
                <w:sz w:val="18"/>
                <w:szCs w:val="18"/>
              </w:rPr>
              <w:br/>
              <w:t>250 mg tab in 10 ml</w:t>
            </w:r>
          </w:p>
        </w:tc>
        <w:tc>
          <w:tcPr>
            <w:tcW w:w="1559" w:type="dxa"/>
            <w:hideMark/>
          </w:tcPr>
          <w:p w14:paraId="7B66CA62" w14:textId="77777777" w:rsidR="00A6579F" w:rsidRPr="0087487B" w:rsidRDefault="00A6579F" w:rsidP="00314B37">
            <w:pPr>
              <w:pStyle w:val="NormalWeb"/>
              <w:rPr>
                <w:sz w:val="18"/>
                <w:szCs w:val="18"/>
              </w:rPr>
            </w:pPr>
            <w:r w:rsidRPr="0087487B">
              <w:rPr>
                <w:sz w:val="18"/>
                <w:szCs w:val="18"/>
              </w:rPr>
              <w:t>15–20 mg/kg</w:t>
            </w:r>
          </w:p>
        </w:tc>
        <w:tc>
          <w:tcPr>
            <w:tcW w:w="1819" w:type="dxa"/>
            <w:hideMark/>
          </w:tcPr>
          <w:p w14:paraId="316F000C" w14:textId="77777777" w:rsidR="00A6579F" w:rsidRPr="0087487B" w:rsidRDefault="00A6579F" w:rsidP="00314B37">
            <w:pPr>
              <w:pStyle w:val="NormalWeb"/>
              <w:rPr>
                <w:sz w:val="18"/>
                <w:szCs w:val="18"/>
              </w:rPr>
            </w:pPr>
            <w:r w:rsidRPr="0087487B">
              <w:rPr>
                <w:sz w:val="18"/>
                <w:szCs w:val="18"/>
              </w:rPr>
              <w:t>Standard upper daily dose 1500 mg (WHO)</w:t>
            </w:r>
          </w:p>
        </w:tc>
      </w:tr>
      <w:tr w:rsidR="00A6579F" w:rsidRPr="0087487B" w14:paraId="5DBDC356" w14:textId="77777777" w:rsidTr="00A6579F">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5DB65545" w14:textId="77777777" w:rsidR="00A6579F" w:rsidRPr="0087487B" w:rsidRDefault="00A6579F" w:rsidP="00314B37">
            <w:pPr>
              <w:pStyle w:val="NormalWeb"/>
              <w:rPr>
                <w:b/>
                <w:sz w:val="18"/>
                <w:szCs w:val="18"/>
              </w:rPr>
            </w:pPr>
            <w:r w:rsidRPr="0087487B">
              <w:rPr>
                <w:b/>
                <w:sz w:val="18"/>
                <w:szCs w:val="18"/>
              </w:rPr>
              <w:t>Moxifloxacin</w:t>
            </w:r>
          </w:p>
        </w:tc>
        <w:tc>
          <w:tcPr>
            <w:tcW w:w="1306" w:type="dxa"/>
            <w:hideMark/>
          </w:tcPr>
          <w:p w14:paraId="36F2185A" w14:textId="77777777" w:rsidR="00A6579F" w:rsidRPr="0087487B" w:rsidRDefault="00A6579F" w:rsidP="00314B37">
            <w:pPr>
              <w:pStyle w:val="NormalWeb"/>
              <w:rPr>
                <w:sz w:val="18"/>
                <w:szCs w:val="18"/>
              </w:rPr>
            </w:pPr>
            <w:r w:rsidRPr="0087487B">
              <w:rPr>
                <w:sz w:val="18"/>
                <w:szCs w:val="18"/>
              </w:rPr>
              <w:t>Oral or IV</w:t>
            </w:r>
          </w:p>
        </w:tc>
        <w:tc>
          <w:tcPr>
            <w:tcW w:w="993" w:type="dxa"/>
            <w:hideMark/>
          </w:tcPr>
          <w:p w14:paraId="009CF7D6" w14:textId="77777777" w:rsidR="00A6579F" w:rsidRPr="0087487B" w:rsidRDefault="00A6579F" w:rsidP="00314B37">
            <w:pPr>
              <w:rPr>
                <w:sz w:val="18"/>
                <w:szCs w:val="18"/>
              </w:rPr>
            </w:pPr>
          </w:p>
        </w:tc>
        <w:tc>
          <w:tcPr>
            <w:tcW w:w="1417" w:type="dxa"/>
            <w:hideMark/>
          </w:tcPr>
          <w:p w14:paraId="20DC76A1" w14:textId="77777777" w:rsidR="00A6579F" w:rsidRPr="0087487B" w:rsidRDefault="00A6579F" w:rsidP="00314B37">
            <w:pPr>
              <w:pStyle w:val="NormalWeb"/>
              <w:rPr>
                <w:sz w:val="18"/>
                <w:szCs w:val="18"/>
              </w:rPr>
            </w:pPr>
            <w:r w:rsidRPr="0087487B">
              <w:rPr>
                <w:sz w:val="18"/>
                <w:szCs w:val="18"/>
              </w:rPr>
              <w:t>400 mg</w:t>
            </w:r>
          </w:p>
        </w:tc>
        <w:tc>
          <w:tcPr>
            <w:tcW w:w="1843" w:type="dxa"/>
            <w:hideMark/>
          </w:tcPr>
          <w:p w14:paraId="44BFC692" w14:textId="77777777" w:rsidR="00A6579F" w:rsidRPr="0087487B" w:rsidRDefault="00A6579F" w:rsidP="00314B37">
            <w:pPr>
              <w:pStyle w:val="NormalWeb"/>
              <w:rPr>
                <w:sz w:val="18"/>
                <w:szCs w:val="18"/>
              </w:rPr>
            </w:pPr>
            <w:r w:rsidRPr="0087487B">
              <w:rPr>
                <w:sz w:val="18"/>
                <w:szCs w:val="18"/>
              </w:rPr>
              <w:t>100 mg scored, dispersible tab</w:t>
            </w:r>
            <w:r w:rsidRPr="0087487B">
              <w:rPr>
                <w:sz w:val="18"/>
                <w:szCs w:val="18"/>
              </w:rPr>
              <w:br/>
              <w:t>400 mg tab</w:t>
            </w:r>
            <w:r w:rsidRPr="0087487B">
              <w:rPr>
                <w:sz w:val="18"/>
                <w:szCs w:val="18"/>
              </w:rPr>
              <w:br/>
              <w:t>400 mg tab in 10 ml</w:t>
            </w:r>
          </w:p>
        </w:tc>
        <w:tc>
          <w:tcPr>
            <w:tcW w:w="1559" w:type="dxa"/>
            <w:hideMark/>
          </w:tcPr>
          <w:p w14:paraId="0C31AA58" w14:textId="77777777" w:rsidR="00A6579F" w:rsidRPr="0087487B" w:rsidRDefault="00A6579F" w:rsidP="00314B37">
            <w:pPr>
              <w:pStyle w:val="NormalWeb"/>
              <w:rPr>
                <w:sz w:val="18"/>
                <w:szCs w:val="18"/>
              </w:rPr>
            </w:pPr>
            <w:r w:rsidRPr="0087487B">
              <w:rPr>
                <w:sz w:val="18"/>
                <w:szCs w:val="18"/>
              </w:rPr>
              <w:t>10–15 mg/kg</w:t>
            </w:r>
          </w:p>
        </w:tc>
        <w:tc>
          <w:tcPr>
            <w:tcW w:w="1819" w:type="dxa"/>
            <w:hideMark/>
          </w:tcPr>
          <w:p w14:paraId="68609EEC" w14:textId="77777777" w:rsidR="00A6579F" w:rsidRPr="0087487B" w:rsidRDefault="00A6579F" w:rsidP="00314B37">
            <w:pPr>
              <w:pStyle w:val="NormalWeb"/>
              <w:rPr>
                <w:sz w:val="18"/>
                <w:szCs w:val="18"/>
              </w:rPr>
            </w:pPr>
            <w:r w:rsidRPr="0087487B">
              <w:rPr>
                <w:sz w:val="18"/>
                <w:szCs w:val="18"/>
              </w:rPr>
              <w:t xml:space="preserve">High dose </w:t>
            </w:r>
            <w:proofErr w:type="gramStart"/>
            <w:r w:rsidRPr="0087487B">
              <w:rPr>
                <w:sz w:val="18"/>
                <w:szCs w:val="18"/>
              </w:rPr>
              <w:t>600</w:t>
            </w:r>
            <w:proofErr w:type="gramEnd"/>
            <w:r w:rsidRPr="0087487B">
              <w:rPr>
                <w:sz w:val="18"/>
                <w:szCs w:val="18"/>
              </w:rPr>
              <w:t>–800 mg/day</w:t>
            </w:r>
          </w:p>
        </w:tc>
      </w:tr>
      <w:tr w:rsidR="00A6579F" w:rsidRPr="0087487B" w14:paraId="508F1D0F" w14:textId="77777777" w:rsidTr="00A6579F">
        <w:trPr>
          <w:divId w:val="448665177"/>
        </w:trPr>
        <w:tc>
          <w:tcPr>
            <w:tcW w:w="0" w:type="auto"/>
            <w:hideMark/>
          </w:tcPr>
          <w:p w14:paraId="53FBA0E5" w14:textId="77777777" w:rsidR="00A6579F" w:rsidRPr="0087487B" w:rsidRDefault="00A6579F" w:rsidP="00314B37">
            <w:pPr>
              <w:pStyle w:val="NormalWeb"/>
              <w:rPr>
                <w:b/>
                <w:sz w:val="18"/>
                <w:szCs w:val="18"/>
              </w:rPr>
            </w:pPr>
            <w:proofErr w:type="spellStart"/>
            <w:r w:rsidRPr="0087487B">
              <w:rPr>
                <w:b/>
                <w:sz w:val="18"/>
                <w:szCs w:val="18"/>
              </w:rPr>
              <w:t>Bedaquiline</w:t>
            </w:r>
            <w:proofErr w:type="spellEnd"/>
          </w:p>
        </w:tc>
        <w:tc>
          <w:tcPr>
            <w:tcW w:w="1306" w:type="dxa"/>
            <w:hideMark/>
          </w:tcPr>
          <w:p w14:paraId="7758452F" w14:textId="77777777" w:rsidR="00A6579F" w:rsidRPr="0087487B" w:rsidRDefault="00A6579F" w:rsidP="00314B37">
            <w:pPr>
              <w:pStyle w:val="NormalWeb"/>
              <w:rPr>
                <w:sz w:val="18"/>
                <w:szCs w:val="18"/>
              </w:rPr>
            </w:pPr>
            <w:r w:rsidRPr="0087487B">
              <w:rPr>
                <w:sz w:val="18"/>
                <w:szCs w:val="18"/>
              </w:rPr>
              <w:t>Oral</w:t>
            </w:r>
          </w:p>
        </w:tc>
        <w:tc>
          <w:tcPr>
            <w:tcW w:w="993" w:type="dxa"/>
            <w:hideMark/>
          </w:tcPr>
          <w:p w14:paraId="10630DAB" w14:textId="77777777" w:rsidR="00A6579F" w:rsidRPr="0087487B" w:rsidRDefault="00A6579F" w:rsidP="00314B37">
            <w:pPr>
              <w:rPr>
                <w:sz w:val="18"/>
                <w:szCs w:val="18"/>
              </w:rPr>
            </w:pPr>
          </w:p>
        </w:tc>
        <w:tc>
          <w:tcPr>
            <w:tcW w:w="1417" w:type="dxa"/>
            <w:hideMark/>
          </w:tcPr>
          <w:p w14:paraId="43101AAF" w14:textId="77777777" w:rsidR="00A6579F" w:rsidRPr="0087487B" w:rsidRDefault="00A6579F" w:rsidP="00314B37">
            <w:pPr>
              <w:pStyle w:val="NormalWeb"/>
              <w:rPr>
                <w:sz w:val="18"/>
                <w:szCs w:val="18"/>
              </w:rPr>
            </w:pPr>
            <w:r w:rsidRPr="0087487B">
              <w:rPr>
                <w:sz w:val="18"/>
                <w:szCs w:val="18"/>
              </w:rPr>
              <w:t>400 mg daily for 14 days</w:t>
            </w:r>
            <w:r w:rsidRPr="0087487B">
              <w:rPr>
                <w:sz w:val="18"/>
                <w:szCs w:val="18"/>
              </w:rPr>
              <w:br/>
            </w:r>
            <w:proofErr w:type="spellStart"/>
            <w:r w:rsidRPr="0087487B">
              <w:rPr>
                <w:sz w:val="18"/>
                <w:szCs w:val="18"/>
              </w:rPr>
              <w:t>then</w:t>
            </w:r>
            <w:proofErr w:type="spellEnd"/>
            <w:r w:rsidRPr="0087487B">
              <w:rPr>
                <w:sz w:val="18"/>
                <w:szCs w:val="18"/>
              </w:rPr>
              <w:t xml:space="preserve"> 200 mg 3 times/week</w:t>
            </w:r>
          </w:p>
        </w:tc>
        <w:tc>
          <w:tcPr>
            <w:tcW w:w="1843" w:type="dxa"/>
            <w:hideMark/>
          </w:tcPr>
          <w:p w14:paraId="5BDC82F0" w14:textId="77777777" w:rsidR="00A6579F" w:rsidRPr="0087487B" w:rsidRDefault="00A6579F" w:rsidP="00314B37">
            <w:pPr>
              <w:pStyle w:val="NormalWeb"/>
              <w:rPr>
                <w:sz w:val="18"/>
                <w:szCs w:val="18"/>
              </w:rPr>
            </w:pPr>
            <w:r w:rsidRPr="0087487B">
              <w:rPr>
                <w:sz w:val="18"/>
                <w:szCs w:val="18"/>
              </w:rPr>
              <w:t>100 mg dispersible tab</w:t>
            </w:r>
            <w:r w:rsidRPr="0087487B">
              <w:rPr>
                <w:sz w:val="18"/>
                <w:szCs w:val="18"/>
              </w:rPr>
              <w:br/>
              <w:t>(100 mg in 10 ml)</w:t>
            </w:r>
          </w:p>
        </w:tc>
        <w:tc>
          <w:tcPr>
            <w:tcW w:w="1559" w:type="dxa"/>
            <w:hideMark/>
          </w:tcPr>
          <w:p w14:paraId="35982973" w14:textId="77777777" w:rsidR="00A6579F" w:rsidRPr="0087487B" w:rsidRDefault="00A6579F" w:rsidP="00314B37">
            <w:pPr>
              <w:pStyle w:val="NormalWeb"/>
              <w:rPr>
                <w:sz w:val="18"/>
                <w:szCs w:val="18"/>
              </w:rPr>
            </w:pPr>
            <w:r w:rsidRPr="0087487B">
              <w:rPr>
                <w:sz w:val="18"/>
                <w:szCs w:val="18"/>
              </w:rPr>
              <w:t xml:space="preserve">Refer WHO </w:t>
            </w:r>
            <w:proofErr w:type="gramStart"/>
            <w:r w:rsidRPr="0087487B">
              <w:rPr>
                <w:sz w:val="18"/>
                <w:szCs w:val="18"/>
              </w:rPr>
              <w:t>weight based</w:t>
            </w:r>
            <w:proofErr w:type="gramEnd"/>
            <w:r w:rsidRPr="0087487B">
              <w:rPr>
                <w:sz w:val="18"/>
                <w:szCs w:val="18"/>
              </w:rPr>
              <w:t xml:space="preserve"> schedule by age</w:t>
            </w:r>
          </w:p>
        </w:tc>
        <w:tc>
          <w:tcPr>
            <w:tcW w:w="1819" w:type="dxa"/>
            <w:hideMark/>
          </w:tcPr>
          <w:p w14:paraId="297AE8B6" w14:textId="77777777" w:rsidR="00A6579F" w:rsidRPr="0087487B" w:rsidRDefault="00A6579F" w:rsidP="00314B37">
            <w:pPr>
              <w:pStyle w:val="NormalWeb"/>
              <w:rPr>
                <w:sz w:val="18"/>
                <w:szCs w:val="18"/>
              </w:rPr>
            </w:pPr>
            <w:r w:rsidRPr="0087487B">
              <w:rPr>
                <w:sz w:val="18"/>
                <w:szCs w:val="18"/>
              </w:rPr>
              <w:t>Usual duration 6 months</w:t>
            </w:r>
          </w:p>
          <w:p w14:paraId="6B3E4FFA" w14:textId="77777777" w:rsidR="00A6579F" w:rsidRPr="0087487B" w:rsidRDefault="00A6579F" w:rsidP="00314B37">
            <w:pPr>
              <w:pStyle w:val="NormalWeb"/>
              <w:rPr>
                <w:sz w:val="18"/>
                <w:szCs w:val="18"/>
              </w:rPr>
            </w:pPr>
            <w:r w:rsidRPr="0087487B">
              <w:rPr>
                <w:sz w:val="18"/>
                <w:szCs w:val="18"/>
              </w:rPr>
              <w:t xml:space="preserve">Duration can </w:t>
            </w:r>
            <w:proofErr w:type="gramStart"/>
            <w:r w:rsidRPr="0087487B">
              <w:rPr>
                <w:sz w:val="18"/>
                <w:szCs w:val="18"/>
              </w:rPr>
              <w:t>be prolonged</w:t>
            </w:r>
            <w:proofErr w:type="gramEnd"/>
            <w:r w:rsidRPr="0087487B">
              <w:rPr>
                <w:sz w:val="18"/>
                <w:szCs w:val="18"/>
              </w:rPr>
              <w:t xml:space="preserve"> in more severe disease</w:t>
            </w:r>
          </w:p>
        </w:tc>
      </w:tr>
      <w:tr w:rsidR="00A6579F" w:rsidRPr="0087487B" w14:paraId="58F75105" w14:textId="77777777" w:rsidTr="00A6579F">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1D5AB061" w14:textId="77777777" w:rsidR="00A6579F" w:rsidRPr="0087487B" w:rsidRDefault="00A6579F" w:rsidP="00314B37">
            <w:pPr>
              <w:pStyle w:val="NormalWeb"/>
              <w:rPr>
                <w:b/>
                <w:sz w:val="18"/>
                <w:szCs w:val="18"/>
              </w:rPr>
            </w:pPr>
            <w:r w:rsidRPr="0087487B">
              <w:rPr>
                <w:b/>
                <w:sz w:val="18"/>
                <w:szCs w:val="18"/>
              </w:rPr>
              <w:t>Linezolid</w:t>
            </w:r>
          </w:p>
        </w:tc>
        <w:tc>
          <w:tcPr>
            <w:tcW w:w="1306" w:type="dxa"/>
            <w:hideMark/>
          </w:tcPr>
          <w:p w14:paraId="3B2D2A3E" w14:textId="77777777" w:rsidR="00A6579F" w:rsidRPr="0087487B" w:rsidRDefault="00A6579F" w:rsidP="00314B37">
            <w:pPr>
              <w:pStyle w:val="NormalWeb"/>
              <w:rPr>
                <w:sz w:val="18"/>
                <w:szCs w:val="18"/>
              </w:rPr>
            </w:pPr>
            <w:r w:rsidRPr="0087487B">
              <w:rPr>
                <w:sz w:val="18"/>
                <w:szCs w:val="18"/>
              </w:rPr>
              <w:t>Oral or IV</w:t>
            </w:r>
          </w:p>
        </w:tc>
        <w:tc>
          <w:tcPr>
            <w:tcW w:w="993" w:type="dxa"/>
            <w:hideMark/>
          </w:tcPr>
          <w:p w14:paraId="4EBA5E6B" w14:textId="77777777" w:rsidR="00A6579F" w:rsidRPr="0087487B" w:rsidRDefault="00A6579F" w:rsidP="00314B37">
            <w:pPr>
              <w:pStyle w:val="NormalWeb"/>
              <w:rPr>
                <w:sz w:val="18"/>
                <w:szCs w:val="18"/>
              </w:rPr>
            </w:pPr>
            <w:r w:rsidRPr="0087487B">
              <w:rPr>
                <w:sz w:val="18"/>
                <w:szCs w:val="18"/>
              </w:rPr>
              <w:t>10–12 mg/kg (IV ≥16 kg)</w:t>
            </w:r>
          </w:p>
        </w:tc>
        <w:tc>
          <w:tcPr>
            <w:tcW w:w="1417" w:type="dxa"/>
            <w:hideMark/>
          </w:tcPr>
          <w:p w14:paraId="5EC51D2A" w14:textId="77777777" w:rsidR="00A6579F" w:rsidRPr="0087487B" w:rsidRDefault="00A6579F" w:rsidP="00314B37">
            <w:pPr>
              <w:pStyle w:val="NormalWeb"/>
              <w:rPr>
                <w:sz w:val="18"/>
                <w:szCs w:val="18"/>
              </w:rPr>
            </w:pPr>
            <w:r w:rsidRPr="0087487B">
              <w:rPr>
                <w:sz w:val="18"/>
                <w:szCs w:val="18"/>
              </w:rPr>
              <w:t>600 mg</w:t>
            </w:r>
          </w:p>
        </w:tc>
        <w:tc>
          <w:tcPr>
            <w:tcW w:w="1843" w:type="dxa"/>
            <w:hideMark/>
          </w:tcPr>
          <w:p w14:paraId="4AFCBC7C" w14:textId="77777777" w:rsidR="00A6579F" w:rsidRPr="0087487B" w:rsidRDefault="00A6579F" w:rsidP="00314B37">
            <w:pPr>
              <w:pStyle w:val="NormalWeb"/>
              <w:rPr>
                <w:sz w:val="18"/>
                <w:szCs w:val="18"/>
              </w:rPr>
            </w:pPr>
            <w:r w:rsidRPr="0087487B">
              <w:rPr>
                <w:sz w:val="18"/>
                <w:szCs w:val="18"/>
              </w:rPr>
              <w:t>600 mg tab</w:t>
            </w:r>
            <w:r w:rsidRPr="0087487B">
              <w:rPr>
                <w:sz w:val="18"/>
                <w:szCs w:val="18"/>
              </w:rPr>
              <w:br/>
              <w:t>600 mg in 10 ml</w:t>
            </w:r>
            <w:r w:rsidRPr="0087487B">
              <w:rPr>
                <w:sz w:val="18"/>
                <w:szCs w:val="18"/>
              </w:rPr>
              <w:br/>
              <w:t>150 mg scored, dispersible tablet</w:t>
            </w:r>
          </w:p>
        </w:tc>
        <w:tc>
          <w:tcPr>
            <w:tcW w:w="1559" w:type="dxa"/>
            <w:hideMark/>
          </w:tcPr>
          <w:p w14:paraId="5CD7ADEC" w14:textId="77777777" w:rsidR="00A6579F" w:rsidRPr="0087487B" w:rsidRDefault="00A6579F" w:rsidP="00314B37">
            <w:pPr>
              <w:pStyle w:val="NormalWeb"/>
              <w:rPr>
                <w:sz w:val="18"/>
                <w:szCs w:val="18"/>
              </w:rPr>
            </w:pPr>
            <w:r w:rsidRPr="0087487B">
              <w:rPr>
                <w:sz w:val="18"/>
                <w:szCs w:val="18"/>
              </w:rPr>
              <w:t>&lt; 16 kg: 15 mg/kg</w:t>
            </w:r>
            <w:r w:rsidRPr="0087487B">
              <w:rPr>
                <w:sz w:val="18"/>
                <w:szCs w:val="18"/>
              </w:rPr>
              <w:br/>
              <w:t>≥ 16 kg: 10–12 mg/kg</w:t>
            </w:r>
          </w:p>
        </w:tc>
        <w:tc>
          <w:tcPr>
            <w:tcW w:w="1819" w:type="dxa"/>
            <w:hideMark/>
          </w:tcPr>
          <w:p w14:paraId="59381E82" w14:textId="77777777" w:rsidR="00A6579F" w:rsidRPr="0087487B" w:rsidRDefault="00A6579F" w:rsidP="00314B37">
            <w:pPr>
              <w:pStyle w:val="NormalWeb"/>
              <w:rPr>
                <w:sz w:val="18"/>
                <w:szCs w:val="18"/>
              </w:rPr>
            </w:pPr>
            <w:r w:rsidRPr="0087487B">
              <w:rPr>
                <w:sz w:val="18"/>
                <w:szCs w:val="18"/>
              </w:rPr>
              <w:t>Some studies suggest Vitamin B6 (pyridoxine) may help prevent myelotoxicity (WHO). TDM advised.</w:t>
            </w:r>
          </w:p>
        </w:tc>
      </w:tr>
      <w:tr w:rsidR="00A6579F" w:rsidRPr="0087487B" w14:paraId="759944E0" w14:textId="77777777" w:rsidTr="00A6579F">
        <w:trPr>
          <w:divId w:val="448665177"/>
        </w:trPr>
        <w:tc>
          <w:tcPr>
            <w:tcW w:w="0" w:type="auto"/>
            <w:hideMark/>
          </w:tcPr>
          <w:p w14:paraId="22EC06F5" w14:textId="77777777" w:rsidR="00A6579F" w:rsidRPr="0087487B" w:rsidRDefault="00A6579F" w:rsidP="00314B37">
            <w:pPr>
              <w:pStyle w:val="NormalWeb"/>
              <w:rPr>
                <w:b/>
                <w:sz w:val="18"/>
                <w:szCs w:val="18"/>
              </w:rPr>
            </w:pPr>
            <w:proofErr w:type="spellStart"/>
            <w:r w:rsidRPr="0087487B">
              <w:rPr>
                <w:b/>
                <w:sz w:val="18"/>
                <w:szCs w:val="18"/>
              </w:rPr>
              <w:t>Pretomanid</w:t>
            </w:r>
            <w:proofErr w:type="spellEnd"/>
          </w:p>
        </w:tc>
        <w:tc>
          <w:tcPr>
            <w:tcW w:w="1306" w:type="dxa"/>
            <w:hideMark/>
          </w:tcPr>
          <w:p w14:paraId="53D3AC2F" w14:textId="77777777" w:rsidR="00A6579F" w:rsidRPr="0087487B" w:rsidRDefault="00A6579F" w:rsidP="00314B37">
            <w:pPr>
              <w:pStyle w:val="NormalWeb"/>
              <w:rPr>
                <w:sz w:val="18"/>
                <w:szCs w:val="18"/>
              </w:rPr>
            </w:pPr>
            <w:r w:rsidRPr="0087487B">
              <w:rPr>
                <w:sz w:val="18"/>
                <w:szCs w:val="18"/>
              </w:rPr>
              <w:t>Oral</w:t>
            </w:r>
          </w:p>
        </w:tc>
        <w:tc>
          <w:tcPr>
            <w:tcW w:w="993" w:type="dxa"/>
            <w:hideMark/>
          </w:tcPr>
          <w:p w14:paraId="7A817657" w14:textId="77777777" w:rsidR="00A6579F" w:rsidRPr="0087487B" w:rsidRDefault="00A6579F" w:rsidP="00314B37">
            <w:pPr>
              <w:rPr>
                <w:sz w:val="18"/>
                <w:szCs w:val="18"/>
              </w:rPr>
            </w:pPr>
          </w:p>
        </w:tc>
        <w:tc>
          <w:tcPr>
            <w:tcW w:w="1417" w:type="dxa"/>
            <w:hideMark/>
          </w:tcPr>
          <w:p w14:paraId="53A5DDB1" w14:textId="77777777" w:rsidR="00A6579F" w:rsidRPr="0087487B" w:rsidRDefault="00A6579F" w:rsidP="00314B37">
            <w:pPr>
              <w:pStyle w:val="NormalWeb"/>
              <w:rPr>
                <w:sz w:val="18"/>
                <w:szCs w:val="18"/>
              </w:rPr>
            </w:pPr>
            <w:r w:rsidRPr="0087487B">
              <w:rPr>
                <w:sz w:val="18"/>
                <w:szCs w:val="18"/>
              </w:rPr>
              <w:t>200 mg</w:t>
            </w:r>
          </w:p>
        </w:tc>
        <w:tc>
          <w:tcPr>
            <w:tcW w:w="1843" w:type="dxa"/>
            <w:hideMark/>
          </w:tcPr>
          <w:p w14:paraId="1D36B355" w14:textId="77777777" w:rsidR="00A6579F" w:rsidRPr="0087487B" w:rsidRDefault="00A6579F" w:rsidP="00314B37">
            <w:pPr>
              <w:rPr>
                <w:sz w:val="18"/>
                <w:szCs w:val="18"/>
              </w:rPr>
            </w:pPr>
          </w:p>
        </w:tc>
        <w:tc>
          <w:tcPr>
            <w:tcW w:w="1559" w:type="dxa"/>
            <w:hideMark/>
          </w:tcPr>
          <w:p w14:paraId="568A8A29" w14:textId="77777777" w:rsidR="00A6579F" w:rsidRPr="0087487B" w:rsidRDefault="00A6579F" w:rsidP="00314B37">
            <w:pPr>
              <w:rPr>
                <w:rFonts w:eastAsia="Times New Roman"/>
                <w:sz w:val="18"/>
                <w:szCs w:val="18"/>
              </w:rPr>
            </w:pPr>
          </w:p>
        </w:tc>
        <w:tc>
          <w:tcPr>
            <w:tcW w:w="1819" w:type="dxa"/>
            <w:hideMark/>
          </w:tcPr>
          <w:p w14:paraId="1BE32F46" w14:textId="77777777" w:rsidR="00A6579F" w:rsidRPr="0087487B" w:rsidRDefault="00A6579F" w:rsidP="00314B37">
            <w:pPr>
              <w:pStyle w:val="NormalWeb"/>
              <w:rPr>
                <w:sz w:val="18"/>
                <w:szCs w:val="18"/>
              </w:rPr>
            </w:pPr>
            <w:r w:rsidRPr="0087487B">
              <w:rPr>
                <w:sz w:val="18"/>
                <w:szCs w:val="18"/>
              </w:rPr>
              <w:t xml:space="preserve">Not presently recommended in </w:t>
            </w:r>
            <w:r w:rsidRPr="0087487B">
              <w:rPr>
                <w:sz w:val="18"/>
                <w:szCs w:val="18"/>
              </w:rPr>
              <w:lastRenderedPageBreak/>
              <w:t>children &lt; 14 years or pregnancy</w:t>
            </w:r>
          </w:p>
        </w:tc>
      </w:tr>
      <w:tr w:rsidR="00A6579F" w:rsidRPr="0087487B" w14:paraId="202EA4DC" w14:textId="77777777" w:rsidTr="00A6579F">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13F44B46" w14:textId="77777777" w:rsidR="00A6579F" w:rsidRPr="0087487B" w:rsidRDefault="00A6579F" w:rsidP="00314B37">
            <w:pPr>
              <w:pStyle w:val="NormalWeb"/>
              <w:rPr>
                <w:b/>
                <w:sz w:val="18"/>
                <w:szCs w:val="18"/>
              </w:rPr>
            </w:pPr>
            <w:r w:rsidRPr="0087487B">
              <w:rPr>
                <w:b/>
                <w:sz w:val="18"/>
                <w:szCs w:val="18"/>
              </w:rPr>
              <w:lastRenderedPageBreak/>
              <w:t>Clofazimine</w:t>
            </w:r>
          </w:p>
        </w:tc>
        <w:tc>
          <w:tcPr>
            <w:tcW w:w="1306" w:type="dxa"/>
            <w:hideMark/>
          </w:tcPr>
          <w:p w14:paraId="1DF886B0" w14:textId="77777777" w:rsidR="00A6579F" w:rsidRPr="0087487B" w:rsidRDefault="00A6579F" w:rsidP="00314B37">
            <w:pPr>
              <w:pStyle w:val="NormalWeb"/>
              <w:rPr>
                <w:sz w:val="18"/>
                <w:szCs w:val="18"/>
              </w:rPr>
            </w:pPr>
            <w:r w:rsidRPr="0087487B">
              <w:rPr>
                <w:sz w:val="18"/>
                <w:szCs w:val="18"/>
              </w:rPr>
              <w:t>Oral</w:t>
            </w:r>
          </w:p>
        </w:tc>
        <w:tc>
          <w:tcPr>
            <w:tcW w:w="993" w:type="dxa"/>
            <w:hideMark/>
          </w:tcPr>
          <w:p w14:paraId="6253C1A3" w14:textId="77777777" w:rsidR="00A6579F" w:rsidRPr="0087487B" w:rsidRDefault="00A6579F" w:rsidP="00314B37">
            <w:pPr>
              <w:rPr>
                <w:sz w:val="18"/>
                <w:szCs w:val="18"/>
              </w:rPr>
            </w:pPr>
          </w:p>
        </w:tc>
        <w:tc>
          <w:tcPr>
            <w:tcW w:w="1417" w:type="dxa"/>
            <w:hideMark/>
          </w:tcPr>
          <w:p w14:paraId="423870CB" w14:textId="77777777" w:rsidR="00A6579F" w:rsidRPr="0087487B" w:rsidRDefault="00A6579F" w:rsidP="00314B37">
            <w:pPr>
              <w:pStyle w:val="NormalWeb"/>
              <w:rPr>
                <w:sz w:val="18"/>
                <w:szCs w:val="18"/>
              </w:rPr>
            </w:pPr>
            <w:r w:rsidRPr="0087487B">
              <w:rPr>
                <w:sz w:val="18"/>
                <w:szCs w:val="18"/>
              </w:rPr>
              <w:t>100 mg</w:t>
            </w:r>
          </w:p>
        </w:tc>
        <w:tc>
          <w:tcPr>
            <w:tcW w:w="1843" w:type="dxa"/>
            <w:hideMark/>
          </w:tcPr>
          <w:p w14:paraId="0A4BE8C7" w14:textId="77777777" w:rsidR="00A6579F" w:rsidRPr="0087487B" w:rsidRDefault="00A6579F" w:rsidP="00314B37">
            <w:pPr>
              <w:pStyle w:val="NormalWeb"/>
              <w:rPr>
                <w:sz w:val="18"/>
                <w:szCs w:val="18"/>
              </w:rPr>
            </w:pPr>
            <w:r w:rsidRPr="0087487B">
              <w:rPr>
                <w:sz w:val="18"/>
                <w:szCs w:val="18"/>
              </w:rPr>
              <w:t>50 mg and 100 mg cap or tab: can dissolve in water</w:t>
            </w:r>
          </w:p>
        </w:tc>
        <w:tc>
          <w:tcPr>
            <w:tcW w:w="1559" w:type="dxa"/>
            <w:hideMark/>
          </w:tcPr>
          <w:p w14:paraId="1D2DC348" w14:textId="77777777" w:rsidR="00A6579F" w:rsidRPr="0087487B" w:rsidRDefault="00A6579F" w:rsidP="00314B37">
            <w:pPr>
              <w:pStyle w:val="NormalWeb"/>
              <w:rPr>
                <w:sz w:val="18"/>
                <w:szCs w:val="18"/>
              </w:rPr>
            </w:pPr>
            <w:r w:rsidRPr="0087487B">
              <w:rPr>
                <w:sz w:val="18"/>
                <w:szCs w:val="18"/>
              </w:rPr>
              <w:t>2–5 mg/kg</w:t>
            </w:r>
          </w:p>
        </w:tc>
        <w:tc>
          <w:tcPr>
            <w:tcW w:w="1819" w:type="dxa"/>
            <w:hideMark/>
          </w:tcPr>
          <w:p w14:paraId="7FA96257" w14:textId="77777777" w:rsidR="00A6579F" w:rsidRPr="0087487B" w:rsidRDefault="00A6579F" w:rsidP="00314B37">
            <w:pPr>
              <w:rPr>
                <w:sz w:val="18"/>
                <w:szCs w:val="18"/>
              </w:rPr>
            </w:pPr>
          </w:p>
        </w:tc>
      </w:tr>
      <w:tr w:rsidR="00A6579F" w:rsidRPr="0087487B" w14:paraId="29B1AFB4" w14:textId="77777777" w:rsidTr="00A6579F">
        <w:trPr>
          <w:divId w:val="448665177"/>
        </w:trPr>
        <w:tc>
          <w:tcPr>
            <w:tcW w:w="0" w:type="auto"/>
            <w:hideMark/>
          </w:tcPr>
          <w:p w14:paraId="38774C23" w14:textId="77777777" w:rsidR="00A6579F" w:rsidRPr="0087487B" w:rsidRDefault="00A6579F" w:rsidP="00314B37">
            <w:pPr>
              <w:pStyle w:val="NormalWeb"/>
              <w:rPr>
                <w:b/>
                <w:sz w:val="18"/>
                <w:szCs w:val="18"/>
              </w:rPr>
            </w:pPr>
            <w:proofErr w:type="spellStart"/>
            <w:r w:rsidRPr="0087487B">
              <w:rPr>
                <w:b/>
                <w:sz w:val="18"/>
                <w:szCs w:val="18"/>
              </w:rPr>
              <w:t>Cycloserine</w:t>
            </w:r>
            <w:proofErr w:type="spellEnd"/>
          </w:p>
        </w:tc>
        <w:tc>
          <w:tcPr>
            <w:tcW w:w="1306" w:type="dxa"/>
            <w:hideMark/>
          </w:tcPr>
          <w:p w14:paraId="53B0A7BE" w14:textId="77777777" w:rsidR="00A6579F" w:rsidRPr="0087487B" w:rsidRDefault="00A6579F" w:rsidP="00314B37">
            <w:pPr>
              <w:pStyle w:val="NormalWeb"/>
              <w:rPr>
                <w:sz w:val="18"/>
                <w:szCs w:val="18"/>
              </w:rPr>
            </w:pPr>
            <w:r w:rsidRPr="0087487B">
              <w:rPr>
                <w:sz w:val="18"/>
                <w:szCs w:val="18"/>
              </w:rPr>
              <w:t>Oral</w:t>
            </w:r>
          </w:p>
        </w:tc>
        <w:tc>
          <w:tcPr>
            <w:tcW w:w="993" w:type="dxa"/>
            <w:hideMark/>
          </w:tcPr>
          <w:p w14:paraId="3B1FF360" w14:textId="77777777" w:rsidR="00A6579F" w:rsidRPr="0087487B" w:rsidRDefault="00A6579F" w:rsidP="00314B37">
            <w:pPr>
              <w:pStyle w:val="NormalWeb"/>
              <w:rPr>
                <w:sz w:val="18"/>
                <w:szCs w:val="18"/>
              </w:rPr>
            </w:pPr>
            <w:r w:rsidRPr="0087487B">
              <w:rPr>
                <w:sz w:val="18"/>
                <w:szCs w:val="18"/>
              </w:rPr>
              <w:t>10–15 mg/kg</w:t>
            </w:r>
          </w:p>
        </w:tc>
        <w:tc>
          <w:tcPr>
            <w:tcW w:w="1417" w:type="dxa"/>
            <w:hideMark/>
          </w:tcPr>
          <w:p w14:paraId="53C86B10" w14:textId="77777777" w:rsidR="00A6579F" w:rsidRPr="0087487B" w:rsidRDefault="00A6579F" w:rsidP="00314B37">
            <w:pPr>
              <w:pStyle w:val="NormalWeb"/>
              <w:rPr>
                <w:sz w:val="18"/>
                <w:szCs w:val="18"/>
              </w:rPr>
            </w:pPr>
            <w:r w:rsidRPr="0087487B">
              <w:rPr>
                <w:sz w:val="18"/>
                <w:szCs w:val="18"/>
              </w:rPr>
              <w:t>1000 mg</w:t>
            </w:r>
          </w:p>
        </w:tc>
        <w:tc>
          <w:tcPr>
            <w:tcW w:w="1843" w:type="dxa"/>
            <w:hideMark/>
          </w:tcPr>
          <w:p w14:paraId="4AC01FB3" w14:textId="77777777" w:rsidR="00A6579F" w:rsidRPr="0087487B" w:rsidRDefault="00A6579F" w:rsidP="00314B37">
            <w:pPr>
              <w:pStyle w:val="NormalWeb"/>
              <w:rPr>
                <w:sz w:val="18"/>
                <w:szCs w:val="18"/>
              </w:rPr>
            </w:pPr>
            <w:r w:rsidRPr="0087487B">
              <w:rPr>
                <w:sz w:val="18"/>
                <w:szCs w:val="18"/>
              </w:rPr>
              <w:t>250 mg cap</w:t>
            </w:r>
            <w:r w:rsidRPr="0087487B">
              <w:rPr>
                <w:sz w:val="18"/>
                <w:szCs w:val="18"/>
              </w:rPr>
              <w:br/>
              <w:t xml:space="preserve">125 mg </w:t>
            </w:r>
            <w:proofErr w:type="spellStart"/>
            <w:r w:rsidRPr="0087487B">
              <w:rPr>
                <w:sz w:val="18"/>
                <w:szCs w:val="18"/>
              </w:rPr>
              <w:t>minicap</w:t>
            </w:r>
            <w:proofErr w:type="spellEnd"/>
          </w:p>
        </w:tc>
        <w:tc>
          <w:tcPr>
            <w:tcW w:w="1559" w:type="dxa"/>
            <w:hideMark/>
          </w:tcPr>
          <w:p w14:paraId="478CFC87" w14:textId="77777777" w:rsidR="00A6579F" w:rsidRPr="0087487B" w:rsidRDefault="00A6579F" w:rsidP="00314B37">
            <w:pPr>
              <w:pStyle w:val="NormalWeb"/>
              <w:rPr>
                <w:sz w:val="18"/>
                <w:szCs w:val="18"/>
              </w:rPr>
            </w:pPr>
            <w:r w:rsidRPr="0087487B">
              <w:rPr>
                <w:sz w:val="18"/>
                <w:szCs w:val="18"/>
              </w:rPr>
              <w:t>15–20 mg/kg</w:t>
            </w:r>
          </w:p>
        </w:tc>
        <w:tc>
          <w:tcPr>
            <w:tcW w:w="1819" w:type="dxa"/>
            <w:hideMark/>
          </w:tcPr>
          <w:p w14:paraId="06C0B378" w14:textId="77777777" w:rsidR="00A6579F" w:rsidRPr="0087487B" w:rsidRDefault="00A6579F" w:rsidP="00314B37">
            <w:pPr>
              <w:pStyle w:val="NormalWeb"/>
              <w:rPr>
                <w:sz w:val="18"/>
                <w:szCs w:val="18"/>
              </w:rPr>
            </w:pPr>
            <w:r w:rsidRPr="0087487B">
              <w:rPr>
                <w:sz w:val="18"/>
                <w:szCs w:val="18"/>
              </w:rPr>
              <w:t xml:space="preserve">Vitamin B6 (pyridoxine) should </w:t>
            </w:r>
            <w:proofErr w:type="gramStart"/>
            <w:r w:rsidRPr="0087487B">
              <w:rPr>
                <w:sz w:val="18"/>
                <w:szCs w:val="18"/>
              </w:rPr>
              <w:t>be given</w:t>
            </w:r>
            <w:proofErr w:type="gramEnd"/>
          </w:p>
        </w:tc>
      </w:tr>
      <w:tr w:rsidR="00A6579F" w:rsidRPr="0087487B" w14:paraId="0B965743" w14:textId="77777777" w:rsidTr="00A6579F">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20AE4D35" w14:textId="77777777" w:rsidR="00A6579F" w:rsidRPr="0087487B" w:rsidRDefault="00A6579F" w:rsidP="00314B37">
            <w:pPr>
              <w:pStyle w:val="NormalWeb"/>
              <w:rPr>
                <w:b/>
                <w:sz w:val="18"/>
                <w:szCs w:val="18"/>
              </w:rPr>
            </w:pPr>
            <w:r w:rsidRPr="0087487B">
              <w:rPr>
                <w:b/>
                <w:sz w:val="18"/>
                <w:szCs w:val="18"/>
              </w:rPr>
              <w:t>Ethambutol</w:t>
            </w:r>
          </w:p>
        </w:tc>
        <w:tc>
          <w:tcPr>
            <w:tcW w:w="1306" w:type="dxa"/>
            <w:hideMark/>
          </w:tcPr>
          <w:p w14:paraId="59D4A24D" w14:textId="77777777" w:rsidR="00A6579F" w:rsidRPr="0087487B" w:rsidRDefault="00A6579F" w:rsidP="00314B37">
            <w:pPr>
              <w:pStyle w:val="NormalWeb"/>
              <w:rPr>
                <w:sz w:val="18"/>
                <w:szCs w:val="18"/>
              </w:rPr>
            </w:pPr>
            <w:r w:rsidRPr="0087487B">
              <w:rPr>
                <w:sz w:val="18"/>
                <w:szCs w:val="18"/>
              </w:rPr>
              <w:t>Oral</w:t>
            </w:r>
          </w:p>
        </w:tc>
        <w:tc>
          <w:tcPr>
            <w:tcW w:w="993" w:type="dxa"/>
            <w:hideMark/>
          </w:tcPr>
          <w:p w14:paraId="4D6338B7" w14:textId="77777777" w:rsidR="00A6579F" w:rsidRPr="0087487B" w:rsidRDefault="00A6579F" w:rsidP="00314B37">
            <w:pPr>
              <w:pStyle w:val="NormalWeb"/>
              <w:rPr>
                <w:sz w:val="18"/>
                <w:szCs w:val="18"/>
              </w:rPr>
            </w:pPr>
            <w:r w:rsidRPr="0087487B">
              <w:rPr>
                <w:sz w:val="18"/>
                <w:szCs w:val="18"/>
              </w:rPr>
              <w:t>15 mg/kg</w:t>
            </w:r>
          </w:p>
        </w:tc>
        <w:tc>
          <w:tcPr>
            <w:tcW w:w="1417" w:type="dxa"/>
            <w:hideMark/>
          </w:tcPr>
          <w:p w14:paraId="7283AF07" w14:textId="77777777" w:rsidR="00A6579F" w:rsidRPr="0087487B" w:rsidRDefault="00A6579F" w:rsidP="00314B37">
            <w:pPr>
              <w:pStyle w:val="NormalWeb"/>
              <w:rPr>
                <w:sz w:val="18"/>
                <w:szCs w:val="18"/>
              </w:rPr>
            </w:pPr>
            <w:r w:rsidRPr="0087487B">
              <w:rPr>
                <w:sz w:val="18"/>
                <w:szCs w:val="18"/>
              </w:rPr>
              <w:t>1200 mg</w:t>
            </w:r>
          </w:p>
        </w:tc>
        <w:tc>
          <w:tcPr>
            <w:tcW w:w="1843" w:type="dxa"/>
            <w:hideMark/>
          </w:tcPr>
          <w:p w14:paraId="40DE849F" w14:textId="77777777" w:rsidR="00A6579F" w:rsidRPr="0087487B" w:rsidRDefault="00A6579F" w:rsidP="00314B37">
            <w:pPr>
              <w:pStyle w:val="NormalWeb"/>
              <w:rPr>
                <w:sz w:val="18"/>
                <w:szCs w:val="18"/>
              </w:rPr>
            </w:pPr>
            <w:r w:rsidRPr="0087487B">
              <w:rPr>
                <w:sz w:val="18"/>
                <w:szCs w:val="18"/>
              </w:rPr>
              <w:t>100 mg scored, dispersible tab</w:t>
            </w:r>
            <w:r w:rsidRPr="0087487B">
              <w:rPr>
                <w:sz w:val="18"/>
                <w:szCs w:val="18"/>
              </w:rPr>
              <w:br/>
              <w:t>400 mg tab</w:t>
            </w:r>
          </w:p>
        </w:tc>
        <w:tc>
          <w:tcPr>
            <w:tcW w:w="1559" w:type="dxa"/>
            <w:hideMark/>
          </w:tcPr>
          <w:p w14:paraId="3392A2F3" w14:textId="77777777" w:rsidR="00A6579F" w:rsidRPr="0087487B" w:rsidRDefault="00A6579F" w:rsidP="00314B37">
            <w:pPr>
              <w:pStyle w:val="NormalWeb"/>
              <w:rPr>
                <w:sz w:val="18"/>
                <w:szCs w:val="18"/>
              </w:rPr>
            </w:pPr>
            <w:r w:rsidRPr="0087487B">
              <w:rPr>
                <w:sz w:val="18"/>
                <w:szCs w:val="18"/>
              </w:rPr>
              <w:t>15–25 mg/kg</w:t>
            </w:r>
          </w:p>
        </w:tc>
        <w:tc>
          <w:tcPr>
            <w:tcW w:w="1819" w:type="dxa"/>
            <w:hideMark/>
          </w:tcPr>
          <w:p w14:paraId="1B82204B" w14:textId="77777777" w:rsidR="00A6579F" w:rsidRPr="0087487B" w:rsidRDefault="00A6579F" w:rsidP="00314B37">
            <w:pPr>
              <w:pStyle w:val="NormalWeb"/>
              <w:rPr>
                <w:sz w:val="18"/>
                <w:szCs w:val="18"/>
              </w:rPr>
            </w:pPr>
            <w:r w:rsidRPr="0087487B">
              <w:rPr>
                <w:sz w:val="18"/>
                <w:szCs w:val="18"/>
              </w:rPr>
              <w:t>Use with care in renal disease.</w:t>
            </w:r>
          </w:p>
          <w:p w14:paraId="6A1D92D1" w14:textId="77777777" w:rsidR="00A6579F" w:rsidRPr="0087487B" w:rsidRDefault="00A6579F" w:rsidP="00314B37">
            <w:pPr>
              <w:pStyle w:val="NormalWeb"/>
              <w:rPr>
                <w:sz w:val="18"/>
                <w:szCs w:val="18"/>
              </w:rPr>
            </w:pPr>
            <w:r w:rsidRPr="0087487B">
              <w:rPr>
                <w:sz w:val="18"/>
                <w:szCs w:val="18"/>
              </w:rPr>
              <w:t xml:space="preserve">Dose adjustment </w:t>
            </w:r>
            <w:proofErr w:type="gramStart"/>
            <w:r w:rsidRPr="0087487B">
              <w:rPr>
                <w:sz w:val="18"/>
                <w:szCs w:val="18"/>
              </w:rPr>
              <w:t>required</w:t>
            </w:r>
            <w:proofErr w:type="gramEnd"/>
          </w:p>
        </w:tc>
      </w:tr>
      <w:tr w:rsidR="00A6579F" w:rsidRPr="0087487B" w14:paraId="6C8A5526" w14:textId="77777777" w:rsidTr="00A6579F">
        <w:trPr>
          <w:divId w:val="448665177"/>
        </w:trPr>
        <w:tc>
          <w:tcPr>
            <w:tcW w:w="0" w:type="auto"/>
            <w:hideMark/>
          </w:tcPr>
          <w:p w14:paraId="219E5812" w14:textId="77777777" w:rsidR="00A6579F" w:rsidRPr="0087487B" w:rsidRDefault="00A6579F" w:rsidP="00314B37">
            <w:pPr>
              <w:pStyle w:val="NormalWeb"/>
              <w:rPr>
                <w:b/>
                <w:sz w:val="18"/>
                <w:szCs w:val="18"/>
              </w:rPr>
            </w:pPr>
            <w:r w:rsidRPr="0087487B">
              <w:rPr>
                <w:b/>
                <w:sz w:val="18"/>
                <w:szCs w:val="18"/>
              </w:rPr>
              <w:t>Pyrazinamide</w:t>
            </w:r>
          </w:p>
        </w:tc>
        <w:tc>
          <w:tcPr>
            <w:tcW w:w="1306" w:type="dxa"/>
            <w:hideMark/>
          </w:tcPr>
          <w:p w14:paraId="52A55CE4" w14:textId="77777777" w:rsidR="00A6579F" w:rsidRPr="0087487B" w:rsidRDefault="00A6579F" w:rsidP="00314B37">
            <w:pPr>
              <w:pStyle w:val="NormalWeb"/>
              <w:rPr>
                <w:sz w:val="18"/>
                <w:szCs w:val="18"/>
              </w:rPr>
            </w:pPr>
            <w:r w:rsidRPr="0087487B">
              <w:rPr>
                <w:sz w:val="18"/>
                <w:szCs w:val="18"/>
              </w:rPr>
              <w:t>Oral</w:t>
            </w:r>
          </w:p>
        </w:tc>
        <w:tc>
          <w:tcPr>
            <w:tcW w:w="993" w:type="dxa"/>
            <w:hideMark/>
          </w:tcPr>
          <w:p w14:paraId="2CE97311" w14:textId="77777777" w:rsidR="00A6579F" w:rsidRPr="0087487B" w:rsidRDefault="00A6579F" w:rsidP="00314B37">
            <w:pPr>
              <w:pStyle w:val="NormalWeb"/>
              <w:rPr>
                <w:sz w:val="18"/>
                <w:szCs w:val="18"/>
              </w:rPr>
            </w:pPr>
            <w:r w:rsidRPr="0087487B">
              <w:rPr>
                <w:sz w:val="18"/>
                <w:szCs w:val="18"/>
              </w:rPr>
              <w:t>25–35 mg/kg</w:t>
            </w:r>
          </w:p>
        </w:tc>
        <w:tc>
          <w:tcPr>
            <w:tcW w:w="1417" w:type="dxa"/>
            <w:hideMark/>
          </w:tcPr>
          <w:p w14:paraId="12F01DA8" w14:textId="77777777" w:rsidR="00A6579F" w:rsidRPr="0087487B" w:rsidRDefault="00A6579F" w:rsidP="00314B37">
            <w:pPr>
              <w:pStyle w:val="NormalWeb"/>
              <w:rPr>
                <w:sz w:val="18"/>
                <w:szCs w:val="18"/>
              </w:rPr>
            </w:pPr>
            <w:r w:rsidRPr="0087487B">
              <w:rPr>
                <w:sz w:val="18"/>
                <w:szCs w:val="18"/>
              </w:rPr>
              <w:t>2000 mg</w:t>
            </w:r>
          </w:p>
        </w:tc>
        <w:tc>
          <w:tcPr>
            <w:tcW w:w="1843" w:type="dxa"/>
            <w:hideMark/>
          </w:tcPr>
          <w:p w14:paraId="20AE7EA4" w14:textId="77777777" w:rsidR="00A6579F" w:rsidRPr="0087487B" w:rsidRDefault="00A6579F" w:rsidP="00314B37">
            <w:pPr>
              <w:pStyle w:val="NormalWeb"/>
              <w:rPr>
                <w:sz w:val="18"/>
                <w:szCs w:val="18"/>
              </w:rPr>
            </w:pPr>
            <w:r w:rsidRPr="0087487B">
              <w:rPr>
                <w:sz w:val="18"/>
                <w:szCs w:val="18"/>
              </w:rPr>
              <w:t>150 mg scored, dispersible tablet 500 mg tab</w:t>
            </w:r>
          </w:p>
        </w:tc>
        <w:tc>
          <w:tcPr>
            <w:tcW w:w="1559" w:type="dxa"/>
            <w:hideMark/>
          </w:tcPr>
          <w:p w14:paraId="613D0D6D" w14:textId="77777777" w:rsidR="00A6579F" w:rsidRPr="0087487B" w:rsidRDefault="00A6579F" w:rsidP="00314B37">
            <w:pPr>
              <w:pStyle w:val="NormalWeb"/>
              <w:rPr>
                <w:sz w:val="18"/>
                <w:szCs w:val="18"/>
              </w:rPr>
            </w:pPr>
            <w:r w:rsidRPr="0087487B">
              <w:rPr>
                <w:sz w:val="18"/>
                <w:szCs w:val="18"/>
              </w:rPr>
              <w:t>30–40 mg/kg</w:t>
            </w:r>
          </w:p>
        </w:tc>
        <w:tc>
          <w:tcPr>
            <w:tcW w:w="1819" w:type="dxa"/>
            <w:hideMark/>
          </w:tcPr>
          <w:p w14:paraId="7E39031C" w14:textId="77777777" w:rsidR="00A6579F" w:rsidRPr="0087487B" w:rsidRDefault="00A6579F" w:rsidP="00314B37">
            <w:pPr>
              <w:pStyle w:val="NormalWeb"/>
              <w:rPr>
                <w:sz w:val="18"/>
                <w:szCs w:val="18"/>
              </w:rPr>
            </w:pPr>
            <w:r w:rsidRPr="0087487B">
              <w:rPr>
                <w:sz w:val="18"/>
                <w:szCs w:val="18"/>
              </w:rPr>
              <w:t xml:space="preserve">Significant uncertainty </w:t>
            </w:r>
            <w:proofErr w:type="gramStart"/>
            <w:r w:rsidRPr="0087487B">
              <w:rPr>
                <w:sz w:val="18"/>
                <w:szCs w:val="18"/>
              </w:rPr>
              <w:t>remains</w:t>
            </w:r>
            <w:proofErr w:type="gramEnd"/>
            <w:r w:rsidRPr="0087487B">
              <w:rPr>
                <w:sz w:val="18"/>
                <w:szCs w:val="18"/>
              </w:rPr>
              <w:t xml:space="preserve"> about optimal dosing.</w:t>
            </w:r>
          </w:p>
          <w:p w14:paraId="6C393451" w14:textId="77777777" w:rsidR="00A6579F" w:rsidRPr="0087487B" w:rsidRDefault="00A6579F" w:rsidP="00314B37">
            <w:pPr>
              <w:pStyle w:val="NormalWeb"/>
              <w:rPr>
                <w:sz w:val="18"/>
                <w:szCs w:val="18"/>
              </w:rPr>
            </w:pPr>
            <w:r w:rsidRPr="0087487B">
              <w:rPr>
                <w:sz w:val="18"/>
                <w:szCs w:val="18"/>
              </w:rPr>
              <w:t>ATS/CDC/ERS/IDSA recommend 25–40 mg/kg in adults.</w:t>
            </w:r>
          </w:p>
          <w:p w14:paraId="6998FE09" w14:textId="77777777" w:rsidR="00A6579F" w:rsidRPr="0087487B" w:rsidRDefault="00A6579F" w:rsidP="00314B37">
            <w:pPr>
              <w:pStyle w:val="NormalWeb"/>
              <w:rPr>
                <w:sz w:val="18"/>
                <w:szCs w:val="18"/>
              </w:rPr>
            </w:pPr>
            <w:r w:rsidRPr="0087487B">
              <w:rPr>
                <w:sz w:val="18"/>
                <w:szCs w:val="18"/>
              </w:rPr>
              <w:t>WHO recommend 25 mg/kg (20–30 mg/kg).</w:t>
            </w:r>
          </w:p>
          <w:p w14:paraId="2D568DCA" w14:textId="77777777" w:rsidR="00A6579F" w:rsidRPr="0087487B" w:rsidRDefault="00A6579F" w:rsidP="00314B37">
            <w:pPr>
              <w:pStyle w:val="NormalWeb"/>
              <w:rPr>
                <w:sz w:val="18"/>
                <w:szCs w:val="18"/>
              </w:rPr>
            </w:pPr>
            <w:r w:rsidRPr="0087487B">
              <w:rPr>
                <w:sz w:val="18"/>
                <w:szCs w:val="18"/>
              </w:rPr>
              <w:t>WHO weight band dosing in adults ≥ 46 kg ranges 20–35 mg/kg daily.</w:t>
            </w:r>
          </w:p>
        </w:tc>
      </w:tr>
      <w:tr w:rsidR="00A6579F" w:rsidRPr="0087487B" w14:paraId="12814AB8" w14:textId="77777777" w:rsidTr="00A6579F">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11F179AF" w14:textId="77777777" w:rsidR="00A6579F" w:rsidRPr="0087487B" w:rsidRDefault="00A6579F" w:rsidP="00314B37">
            <w:pPr>
              <w:pStyle w:val="NormalWeb"/>
              <w:rPr>
                <w:b/>
                <w:sz w:val="18"/>
                <w:szCs w:val="18"/>
              </w:rPr>
            </w:pPr>
            <w:proofErr w:type="spellStart"/>
            <w:r w:rsidRPr="0087487B">
              <w:rPr>
                <w:b/>
                <w:sz w:val="18"/>
                <w:szCs w:val="18"/>
              </w:rPr>
              <w:t>Delamanid</w:t>
            </w:r>
            <w:proofErr w:type="spellEnd"/>
          </w:p>
        </w:tc>
        <w:tc>
          <w:tcPr>
            <w:tcW w:w="1306" w:type="dxa"/>
            <w:hideMark/>
          </w:tcPr>
          <w:p w14:paraId="77D5F12F" w14:textId="77777777" w:rsidR="00A6579F" w:rsidRPr="0087487B" w:rsidRDefault="00A6579F" w:rsidP="00314B37">
            <w:pPr>
              <w:pStyle w:val="NormalWeb"/>
              <w:rPr>
                <w:sz w:val="18"/>
                <w:szCs w:val="18"/>
              </w:rPr>
            </w:pPr>
            <w:r w:rsidRPr="0087487B">
              <w:rPr>
                <w:sz w:val="18"/>
                <w:szCs w:val="18"/>
              </w:rPr>
              <w:t>Oral</w:t>
            </w:r>
          </w:p>
        </w:tc>
        <w:tc>
          <w:tcPr>
            <w:tcW w:w="993" w:type="dxa"/>
            <w:hideMark/>
          </w:tcPr>
          <w:p w14:paraId="65928445" w14:textId="77777777" w:rsidR="00A6579F" w:rsidRPr="0087487B" w:rsidRDefault="00A6579F" w:rsidP="00314B37">
            <w:pPr>
              <w:rPr>
                <w:sz w:val="18"/>
                <w:szCs w:val="18"/>
              </w:rPr>
            </w:pPr>
          </w:p>
        </w:tc>
        <w:tc>
          <w:tcPr>
            <w:tcW w:w="1417" w:type="dxa"/>
            <w:hideMark/>
          </w:tcPr>
          <w:p w14:paraId="40E92FFF" w14:textId="77777777" w:rsidR="00A6579F" w:rsidRPr="0087487B" w:rsidRDefault="00A6579F" w:rsidP="00314B37">
            <w:pPr>
              <w:pStyle w:val="NormalWeb"/>
              <w:rPr>
                <w:sz w:val="18"/>
                <w:szCs w:val="18"/>
              </w:rPr>
            </w:pPr>
            <w:r w:rsidRPr="0087487B">
              <w:rPr>
                <w:sz w:val="18"/>
                <w:szCs w:val="18"/>
              </w:rPr>
              <w:t>200 mg</w:t>
            </w:r>
          </w:p>
        </w:tc>
        <w:tc>
          <w:tcPr>
            <w:tcW w:w="1843" w:type="dxa"/>
            <w:hideMark/>
          </w:tcPr>
          <w:p w14:paraId="4CE316D0" w14:textId="77777777" w:rsidR="00A6579F" w:rsidRPr="0087487B" w:rsidRDefault="00A6579F" w:rsidP="00314B37">
            <w:pPr>
              <w:pStyle w:val="NormalWeb"/>
              <w:rPr>
                <w:sz w:val="18"/>
                <w:szCs w:val="18"/>
              </w:rPr>
            </w:pPr>
            <w:r w:rsidRPr="0087487B">
              <w:rPr>
                <w:sz w:val="18"/>
                <w:szCs w:val="18"/>
              </w:rPr>
              <w:t>50 mg tab</w:t>
            </w:r>
            <w:r w:rsidRPr="0087487B">
              <w:rPr>
                <w:sz w:val="18"/>
                <w:szCs w:val="18"/>
              </w:rPr>
              <w:br/>
              <w:t>25 mg dispersible tablet</w:t>
            </w:r>
          </w:p>
        </w:tc>
        <w:tc>
          <w:tcPr>
            <w:tcW w:w="1559" w:type="dxa"/>
            <w:hideMark/>
          </w:tcPr>
          <w:p w14:paraId="3EEF06D9" w14:textId="77777777" w:rsidR="00A6579F" w:rsidRPr="0087487B" w:rsidRDefault="00A6579F" w:rsidP="00314B37">
            <w:pPr>
              <w:pStyle w:val="NormalWeb"/>
              <w:rPr>
                <w:sz w:val="18"/>
                <w:szCs w:val="18"/>
              </w:rPr>
            </w:pPr>
            <w:r w:rsidRPr="0087487B">
              <w:rPr>
                <w:sz w:val="18"/>
                <w:szCs w:val="18"/>
              </w:rPr>
              <w:t>Refer WHO weight-based schedule by age (Note 1).c</w:t>
            </w:r>
          </w:p>
        </w:tc>
        <w:tc>
          <w:tcPr>
            <w:tcW w:w="1819" w:type="dxa"/>
            <w:hideMark/>
          </w:tcPr>
          <w:p w14:paraId="72E69223" w14:textId="77777777" w:rsidR="00A6579F" w:rsidRPr="0087487B" w:rsidRDefault="00A6579F" w:rsidP="00314B37">
            <w:pPr>
              <w:rPr>
                <w:sz w:val="18"/>
                <w:szCs w:val="18"/>
              </w:rPr>
            </w:pPr>
          </w:p>
        </w:tc>
      </w:tr>
      <w:tr w:rsidR="00A6579F" w:rsidRPr="0087487B" w14:paraId="3D48FA75" w14:textId="77777777" w:rsidTr="00A6579F">
        <w:trPr>
          <w:divId w:val="448665177"/>
        </w:trPr>
        <w:tc>
          <w:tcPr>
            <w:tcW w:w="0" w:type="auto"/>
            <w:hideMark/>
          </w:tcPr>
          <w:p w14:paraId="051C2E05" w14:textId="77777777" w:rsidR="00A6579F" w:rsidRPr="0087487B" w:rsidRDefault="00A6579F" w:rsidP="00314B37">
            <w:pPr>
              <w:pStyle w:val="NormalWeb"/>
              <w:rPr>
                <w:b/>
                <w:sz w:val="18"/>
                <w:szCs w:val="18"/>
              </w:rPr>
            </w:pPr>
            <w:r w:rsidRPr="0087487B">
              <w:rPr>
                <w:b/>
                <w:sz w:val="18"/>
                <w:szCs w:val="18"/>
              </w:rPr>
              <w:t>Amikacin (or streptomycin)</w:t>
            </w:r>
          </w:p>
        </w:tc>
        <w:tc>
          <w:tcPr>
            <w:tcW w:w="1306" w:type="dxa"/>
            <w:hideMark/>
          </w:tcPr>
          <w:p w14:paraId="251E19A2" w14:textId="77777777" w:rsidR="00A6579F" w:rsidRPr="0087487B" w:rsidRDefault="00A6579F" w:rsidP="00314B37">
            <w:pPr>
              <w:pStyle w:val="NormalWeb"/>
              <w:rPr>
                <w:sz w:val="18"/>
                <w:szCs w:val="18"/>
              </w:rPr>
            </w:pPr>
            <w:r w:rsidRPr="0087487B">
              <w:rPr>
                <w:sz w:val="18"/>
                <w:szCs w:val="18"/>
              </w:rPr>
              <w:t>IV or IM</w:t>
            </w:r>
          </w:p>
        </w:tc>
        <w:tc>
          <w:tcPr>
            <w:tcW w:w="993" w:type="dxa"/>
            <w:hideMark/>
          </w:tcPr>
          <w:p w14:paraId="0ECA2EF3" w14:textId="77777777" w:rsidR="00A6579F" w:rsidRPr="0087487B" w:rsidRDefault="00A6579F" w:rsidP="00314B37">
            <w:pPr>
              <w:pStyle w:val="NormalWeb"/>
              <w:rPr>
                <w:sz w:val="18"/>
                <w:szCs w:val="18"/>
              </w:rPr>
            </w:pPr>
            <w:r w:rsidRPr="0087487B">
              <w:rPr>
                <w:sz w:val="18"/>
                <w:szCs w:val="18"/>
              </w:rPr>
              <w:t>15–20 mg/kg 6–7 days per week</w:t>
            </w:r>
            <w:r w:rsidRPr="0087487B">
              <w:rPr>
                <w:sz w:val="18"/>
                <w:szCs w:val="18"/>
              </w:rPr>
              <w:br/>
            </w:r>
            <w:r w:rsidRPr="0087487B">
              <w:rPr>
                <w:sz w:val="18"/>
                <w:szCs w:val="18"/>
              </w:rPr>
              <w:br/>
              <w:t>&gt; 60 years: 10 mg/kg 5–7 times/week</w:t>
            </w:r>
          </w:p>
          <w:p w14:paraId="7D77E49C" w14:textId="77777777" w:rsidR="00A6579F" w:rsidRPr="0087487B" w:rsidRDefault="00A6579F" w:rsidP="00314B37">
            <w:pPr>
              <w:pStyle w:val="NormalWeb"/>
              <w:rPr>
                <w:sz w:val="18"/>
                <w:szCs w:val="18"/>
              </w:rPr>
            </w:pPr>
            <w:r w:rsidRPr="0087487B">
              <w:rPr>
                <w:sz w:val="18"/>
                <w:szCs w:val="18"/>
              </w:rPr>
              <w:t>or 15 mg/kg 3 times/week</w:t>
            </w:r>
          </w:p>
        </w:tc>
        <w:tc>
          <w:tcPr>
            <w:tcW w:w="1417" w:type="dxa"/>
            <w:hideMark/>
          </w:tcPr>
          <w:p w14:paraId="7B8A27AF" w14:textId="77777777" w:rsidR="00A6579F" w:rsidRPr="0087487B" w:rsidRDefault="00A6579F" w:rsidP="00314B37">
            <w:pPr>
              <w:pStyle w:val="NormalWeb"/>
              <w:rPr>
                <w:sz w:val="18"/>
                <w:szCs w:val="18"/>
              </w:rPr>
            </w:pPr>
            <w:r w:rsidRPr="0087487B">
              <w:rPr>
                <w:sz w:val="18"/>
                <w:szCs w:val="18"/>
              </w:rPr>
              <w:t>1000 mg</w:t>
            </w:r>
          </w:p>
        </w:tc>
        <w:tc>
          <w:tcPr>
            <w:tcW w:w="1843" w:type="dxa"/>
            <w:hideMark/>
          </w:tcPr>
          <w:p w14:paraId="7E215DE1" w14:textId="77777777" w:rsidR="00A6579F" w:rsidRPr="0087487B" w:rsidRDefault="00A6579F" w:rsidP="00314B37">
            <w:pPr>
              <w:rPr>
                <w:sz w:val="18"/>
                <w:szCs w:val="18"/>
              </w:rPr>
            </w:pPr>
          </w:p>
        </w:tc>
        <w:tc>
          <w:tcPr>
            <w:tcW w:w="1559" w:type="dxa"/>
            <w:hideMark/>
          </w:tcPr>
          <w:p w14:paraId="611B83F0" w14:textId="77777777" w:rsidR="00A6579F" w:rsidRPr="0087487B" w:rsidRDefault="00A6579F" w:rsidP="00314B37">
            <w:pPr>
              <w:pStyle w:val="NormalWeb"/>
              <w:rPr>
                <w:sz w:val="18"/>
                <w:szCs w:val="18"/>
              </w:rPr>
            </w:pPr>
            <w:r w:rsidRPr="0087487B">
              <w:rPr>
                <w:sz w:val="18"/>
                <w:szCs w:val="18"/>
              </w:rPr>
              <w:t>NOT recommended for use in children, unless as a last resort</w:t>
            </w:r>
          </w:p>
        </w:tc>
        <w:tc>
          <w:tcPr>
            <w:tcW w:w="1819" w:type="dxa"/>
            <w:hideMark/>
          </w:tcPr>
          <w:p w14:paraId="77A16A1F" w14:textId="77777777" w:rsidR="00A6579F" w:rsidRPr="0087487B" w:rsidRDefault="00A6579F" w:rsidP="00314B37">
            <w:pPr>
              <w:pStyle w:val="NormalWeb"/>
              <w:rPr>
                <w:sz w:val="18"/>
                <w:szCs w:val="18"/>
              </w:rPr>
            </w:pPr>
            <w:r w:rsidRPr="0087487B">
              <w:rPr>
                <w:sz w:val="18"/>
                <w:szCs w:val="18"/>
              </w:rPr>
              <w:t>Use with care in people &gt; 60 years or with renal disease.</w:t>
            </w:r>
          </w:p>
          <w:p w14:paraId="06712299" w14:textId="77777777" w:rsidR="00A6579F" w:rsidRPr="0087487B" w:rsidRDefault="00A6579F" w:rsidP="00314B37">
            <w:pPr>
              <w:pStyle w:val="NormalWeb"/>
              <w:rPr>
                <w:sz w:val="18"/>
                <w:szCs w:val="18"/>
              </w:rPr>
            </w:pPr>
            <w:r w:rsidRPr="0087487B">
              <w:rPr>
                <w:sz w:val="18"/>
                <w:szCs w:val="18"/>
              </w:rPr>
              <w:t xml:space="preserve">Audiometry and TDM </w:t>
            </w:r>
            <w:proofErr w:type="gramStart"/>
            <w:r w:rsidRPr="0087487B">
              <w:rPr>
                <w:sz w:val="18"/>
                <w:szCs w:val="18"/>
              </w:rPr>
              <w:t>required</w:t>
            </w:r>
            <w:proofErr w:type="gramEnd"/>
          </w:p>
        </w:tc>
      </w:tr>
      <w:tr w:rsidR="00A6579F" w:rsidRPr="0087487B" w14:paraId="7D345DAE" w14:textId="77777777" w:rsidTr="00A6579F">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33BD4128" w14:textId="77777777" w:rsidR="00A6579F" w:rsidRPr="0087487B" w:rsidRDefault="00A6579F" w:rsidP="00314B37">
            <w:pPr>
              <w:pStyle w:val="NormalWeb"/>
              <w:rPr>
                <w:b/>
                <w:sz w:val="18"/>
                <w:szCs w:val="18"/>
              </w:rPr>
            </w:pPr>
            <w:r w:rsidRPr="0087487B">
              <w:rPr>
                <w:b/>
                <w:sz w:val="18"/>
                <w:szCs w:val="18"/>
              </w:rPr>
              <w:t>Carbapenem (combined with clavulanic acid):</w:t>
            </w:r>
          </w:p>
          <w:p w14:paraId="7E796F86" w14:textId="77777777" w:rsidR="00A6579F" w:rsidRPr="0087487B" w:rsidRDefault="00A6579F" w:rsidP="00314B37">
            <w:pPr>
              <w:pStyle w:val="NormalWeb"/>
              <w:rPr>
                <w:b/>
                <w:sz w:val="18"/>
                <w:szCs w:val="18"/>
              </w:rPr>
            </w:pPr>
            <w:r w:rsidRPr="0087487B">
              <w:rPr>
                <w:b/>
                <w:sz w:val="18"/>
                <w:szCs w:val="18"/>
              </w:rPr>
              <w:t>Meropenem</w:t>
            </w:r>
          </w:p>
          <w:p w14:paraId="13B85946" w14:textId="77777777" w:rsidR="00A6579F" w:rsidRPr="0087487B" w:rsidRDefault="00A6579F" w:rsidP="00314B37">
            <w:pPr>
              <w:pStyle w:val="NormalWeb"/>
              <w:rPr>
                <w:b/>
                <w:sz w:val="18"/>
                <w:szCs w:val="18"/>
              </w:rPr>
            </w:pPr>
            <w:r w:rsidRPr="0087487B">
              <w:rPr>
                <w:b/>
                <w:sz w:val="18"/>
                <w:szCs w:val="18"/>
              </w:rPr>
              <w:t>or</w:t>
            </w:r>
          </w:p>
          <w:p w14:paraId="224593FE" w14:textId="77777777" w:rsidR="00A6579F" w:rsidRPr="0087487B" w:rsidRDefault="00A6579F" w:rsidP="00314B37">
            <w:pPr>
              <w:pStyle w:val="NormalWeb"/>
              <w:rPr>
                <w:b/>
                <w:sz w:val="18"/>
                <w:szCs w:val="18"/>
              </w:rPr>
            </w:pPr>
            <w:r w:rsidRPr="0087487B">
              <w:rPr>
                <w:b/>
                <w:sz w:val="18"/>
                <w:szCs w:val="18"/>
              </w:rPr>
              <w:t>Imipenem-</w:t>
            </w:r>
            <w:proofErr w:type="spellStart"/>
            <w:r w:rsidRPr="0087487B">
              <w:rPr>
                <w:b/>
                <w:sz w:val="18"/>
                <w:szCs w:val="18"/>
              </w:rPr>
              <w:t>cilastatin</w:t>
            </w:r>
            <w:proofErr w:type="spellEnd"/>
            <w:r w:rsidRPr="0087487B">
              <w:rPr>
                <w:b/>
                <w:sz w:val="18"/>
                <w:szCs w:val="18"/>
              </w:rPr>
              <w:t xml:space="preserve"> (not for use if &lt; 15 years)</w:t>
            </w:r>
          </w:p>
        </w:tc>
        <w:tc>
          <w:tcPr>
            <w:tcW w:w="1306" w:type="dxa"/>
            <w:hideMark/>
          </w:tcPr>
          <w:p w14:paraId="624B4EA3" w14:textId="77777777" w:rsidR="00A6579F" w:rsidRPr="0087487B" w:rsidRDefault="00A6579F" w:rsidP="00314B37">
            <w:pPr>
              <w:pStyle w:val="NormalWeb"/>
              <w:rPr>
                <w:sz w:val="18"/>
                <w:szCs w:val="18"/>
              </w:rPr>
            </w:pPr>
            <w:r w:rsidRPr="0087487B">
              <w:rPr>
                <w:sz w:val="18"/>
                <w:szCs w:val="18"/>
              </w:rPr>
              <w:t>IV only</w:t>
            </w:r>
          </w:p>
        </w:tc>
        <w:tc>
          <w:tcPr>
            <w:tcW w:w="993" w:type="dxa"/>
            <w:hideMark/>
          </w:tcPr>
          <w:p w14:paraId="7E14BB79" w14:textId="77777777" w:rsidR="00A6579F" w:rsidRPr="0087487B" w:rsidRDefault="00A6579F" w:rsidP="00314B37">
            <w:pPr>
              <w:rPr>
                <w:sz w:val="18"/>
                <w:szCs w:val="18"/>
              </w:rPr>
            </w:pPr>
          </w:p>
        </w:tc>
        <w:tc>
          <w:tcPr>
            <w:tcW w:w="1417" w:type="dxa"/>
            <w:hideMark/>
          </w:tcPr>
          <w:p w14:paraId="7C68FF40" w14:textId="77777777" w:rsidR="00A6579F" w:rsidRPr="0087487B" w:rsidRDefault="00A6579F" w:rsidP="00314B37">
            <w:pPr>
              <w:pStyle w:val="NormalWeb"/>
              <w:rPr>
                <w:sz w:val="18"/>
                <w:szCs w:val="18"/>
              </w:rPr>
            </w:pPr>
            <w:r w:rsidRPr="0087487B">
              <w:rPr>
                <w:sz w:val="18"/>
                <w:szCs w:val="18"/>
              </w:rPr>
              <w:br/>
              <w:t>(</w:t>
            </w:r>
            <w:proofErr w:type="spellStart"/>
            <w:r w:rsidRPr="0087487B">
              <w:rPr>
                <w:sz w:val="18"/>
                <w:szCs w:val="18"/>
              </w:rPr>
              <w:t>Mpm</w:t>
            </w:r>
            <w:proofErr w:type="spellEnd"/>
            <w:r w:rsidRPr="0087487B">
              <w:rPr>
                <w:sz w:val="18"/>
                <w:szCs w:val="18"/>
              </w:rPr>
              <w:t>) 1000 mg 3 times daily</w:t>
            </w:r>
          </w:p>
          <w:p w14:paraId="63152279" w14:textId="77777777" w:rsidR="00A6579F" w:rsidRPr="0087487B" w:rsidRDefault="00A6579F" w:rsidP="00314B37">
            <w:pPr>
              <w:pStyle w:val="NormalWeb"/>
              <w:rPr>
                <w:sz w:val="18"/>
                <w:szCs w:val="18"/>
              </w:rPr>
            </w:pPr>
            <w:r w:rsidRPr="0087487B">
              <w:rPr>
                <w:sz w:val="18"/>
                <w:szCs w:val="18"/>
              </w:rPr>
              <w:t>(</w:t>
            </w:r>
            <w:proofErr w:type="spellStart"/>
            <w:r w:rsidRPr="0087487B">
              <w:rPr>
                <w:sz w:val="18"/>
                <w:szCs w:val="18"/>
              </w:rPr>
              <w:t>Ipm-Cln</w:t>
            </w:r>
            <w:proofErr w:type="spellEnd"/>
            <w:r w:rsidRPr="0087487B">
              <w:rPr>
                <w:sz w:val="18"/>
                <w:szCs w:val="18"/>
              </w:rPr>
              <w:t>) 1000 mg 2 times daily</w:t>
            </w:r>
          </w:p>
        </w:tc>
        <w:tc>
          <w:tcPr>
            <w:tcW w:w="1843" w:type="dxa"/>
            <w:hideMark/>
          </w:tcPr>
          <w:p w14:paraId="3CD86F46" w14:textId="77777777" w:rsidR="00A6579F" w:rsidRPr="0087487B" w:rsidRDefault="00A6579F" w:rsidP="00314B37">
            <w:pPr>
              <w:rPr>
                <w:sz w:val="18"/>
                <w:szCs w:val="18"/>
              </w:rPr>
            </w:pPr>
          </w:p>
        </w:tc>
        <w:tc>
          <w:tcPr>
            <w:tcW w:w="1559" w:type="dxa"/>
            <w:hideMark/>
          </w:tcPr>
          <w:p w14:paraId="563198CF" w14:textId="77777777" w:rsidR="00A6579F" w:rsidRPr="0087487B" w:rsidRDefault="00A6579F" w:rsidP="00314B37">
            <w:pPr>
              <w:pStyle w:val="NormalWeb"/>
              <w:rPr>
                <w:sz w:val="18"/>
                <w:szCs w:val="18"/>
              </w:rPr>
            </w:pPr>
            <w:r w:rsidRPr="0087487B">
              <w:rPr>
                <w:sz w:val="18"/>
                <w:szCs w:val="18"/>
              </w:rPr>
              <w:t>20–40 mg/kg IV every 8 hours</w:t>
            </w:r>
          </w:p>
        </w:tc>
        <w:tc>
          <w:tcPr>
            <w:tcW w:w="1819" w:type="dxa"/>
            <w:hideMark/>
          </w:tcPr>
          <w:p w14:paraId="47C028DF" w14:textId="77777777" w:rsidR="00A6579F" w:rsidRPr="0087487B" w:rsidRDefault="00A6579F" w:rsidP="00314B37">
            <w:pPr>
              <w:pStyle w:val="NormalWeb"/>
              <w:rPr>
                <w:sz w:val="18"/>
                <w:szCs w:val="18"/>
              </w:rPr>
            </w:pPr>
            <w:r w:rsidRPr="0087487B">
              <w:rPr>
                <w:sz w:val="18"/>
                <w:szCs w:val="18"/>
              </w:rPr>
              <w:t xml:space="preserve">Clavulanic acid 125 mg to </w:t>
            </w:r>
            <w:proofErr w:type="gramStart"/>
            <w:r w:rsidRPr="0087487B">
              <w:rPr>
                <w:sz w:val="18"/>
                <w:szCs w:val="18"/>
              </w:rPr>
              <w:t>be given</w:t>
            </w:r>
            <w:proofErr w:type="gramEnd"/>
            <w:r w:rsidRPr="0087487B">
              <w:rPr>
                <w:sz w:val="18"/>
                <w:szCs w:val="18"/>
              </w:rPr>
              <w:t xml:space="preserve"> one hour before each dose (adults)</w:t>
            </w:r>
          </w:p>
          <w:p w14:paraId="31ECCD87" w14:textId="77777777" w:rsidR="00A6579F" w:rsidRPr="0087487B" w:rsidRDefault="00A6579F" w:rsidP="00314B37">
            <w:pPr>
              <w:pStyle w:val="NormalWeb"/>
              <w:rPr>
                <w:sz w:val="18"/>
                <w:szCs w:val="18"/>
              </w:rPr>
            </w:pPr>
            <w:r w:rsidRPr="0087487B">
              <w:rPr>
                <w:sz w:val="18"/>
                <w:szCs w:val="18"/>
              </w:rPr>
              <w:t xml:space="preserve">Children: refer to weight-based dosing in annex </w:t>
            </w:r>
            <w:proofErr w:type="gramStart"/>
            <w:r w:rsidRPr="0087487B">
              <w:rPr>
                <w:sz w:val="18"/>
                <w:szCs w:val="18"/>
              </w:rPr>
              <w:t>6</w:t>
            </w:r>
            <w:proofErr w:type="gramEnd"/>
            <w:r w:rsidRPr="0087487B">
              <w:rPr>
                <w:sz w:val="18"/>
                <w:szCs w:val="18"/>
              </w:rPr>
              <w:t xml:space="preserve"> in WHO Module 5 (Note 1).c</w:t>
            </w:r>
          </w:p>
          <w:p w14:paraId="649577B4" w14:textId="77777777" w:rsidR="00A6579F" w:rsidRPr="0087487B" w:rsidRDefault="00A6579F" w:rsidP="00314B37">
            <w:pPr>
              <w:pStyle w:val="NormalWeb"/>
              <w:rPr>
                <w:sz w:val="18"/>
                <w:szCs w:val="18"/>
              </w:rPr>
            </w:pPr>
            <w:r w:rsidRPr="0087487B">
              <w:rPr>
                <w:sz w:val="18"/>
                <w:szCs w:val="18"/>
              </w:rPr>
              <w:lastRenderedPageBreak/>
              <w:t xml:space="preserve">Dose adjustments required in renal </w:t>
            </w:r>
            <w:proofErr w:type="gramStart"/>
            <w:r w:rsidRPr="0087487B">
              <w:rPr>
                <w:sz w:val="18"/>
                <w:szCs w:val="18"/>
              </w:rPr>
              <w:t>disease</w:t>
            </w:r>
            <w:proofErr w:type="gramEnd"/>
          </w:p>
          <w:p w14:paraId="551E0F0E" w14:textId="77777777" w:rsidR="00A6579F" w:rsidRPr="0087487B" w:rsidRDefault="00A6579F" w:rsidP="00314B37">
            <w:pPr>
              <w:pStyle w:val="NormalWeb"/>
              <w:rPr>
                <w:sz w:val="18"/>
                <w:szCs w:val="18"/>
              </w:rPr>
            </w:pPr>
            <w:r w:rsidRPr="0087487B">
              <w:rPr>
                <w:sz w:val="18"/>
                <w:szCs w:val="18"/>
              </w:rPr>
              <w:t>Use meropenem in children &lt; 15 years</w:t>
            </w:r>
          </w:p>
        </w:tc>
      </w:tr>
      <w:tr w:rsidR="00A6579F" w:rsidRPr="0087487B" w14:paraId="11EC9824" w14:textId="77777777" w:rsidTr="00A6579F">
        <w:trPr>
          <w:divId w:val="448665177"/>
        </w:trPr>
        <w:tc>
          <w:tcPr>
            <w:tcW w:w="0" w:type="auto"/>
            <w:hideMark/>
          </w:tcPr>
          <w:p w14:paraId="5CFAD4FE" w14:textId="77777777" w:rsidR="00A6579F" w:rsidRPr="0087487B" w:rsidRDefault="00A6579F" w:rsidP="00314B37">
            <w:pPr>
              <w:pStyle w:val="NormalWeb"/>
              <w:rPr>
                <w:b/>
                <w:sz w:val="18"/>
                <w:szCs w:val="18"/>
              </w:rPr>
            </w:pPr>
            <w:r w:rsidRPr="0087487B">
              <w:rPr>
                <w:b/>
                <w:sz w:val="18"/>
                <w:szCs w:val="18"/>
              </w:rPr>
              <w:lastRenderedPageBreak/>
              <w:t xml:space="preserve">Ethio- or </w:t>
            </w:r>
            <w:proofErr w:type="spellStart"/>
            <w:r w:rsidRPr="0087487B">
              <w:rPr>
                <w:b/>
                <w:sz w:val="18"/>
                <w:szCs w:val="18"/>
              </w:rPr>
              <w:t>prothionamide</w:t>
            </w:r>
            <w:proofErr w:type="spellEnd"/>
          </w:p>
        </w:tc>
        <w:tc>
          <w:tcPr>
            <w:tcW w:w="1306" w:type="dxa"/>
            <w:hideMark/>
          </w:tcPr>
          <w:p w14:paraId="1DCA0CFC" w14:textId="77777777" w:rsidR="00A6579F" w:rsidRPr="0087487B" w:rsidRDefault="00A6579F" w:rsidP="00314B37">
            <w:pPr>
              <w:pStyle w:val="NormalWeb"/>
              <w:rPr>
                <w:sz w:val="18"/>
                <w:szCs w:val="18"/>
              </w:rPr>
            </w:pPr>
            <w:r w:rsidRPr="0087487B">
              <w:rPr>
                <w:sz w:val="18"/>
                <w:szCs w:val="18"/>
              </w:rPr>
              <w:t>Oral</w:t>
            </w:r>
          </w:p>
        </w:tc>
        <w:tc>
          <w:tcPr>
            <w:tcW w:w="993" w:type="dxa"/>
            <w:hideMark/>
          </w:tcPr>
          <w:p w14:paraId="6B60EAEC" w14:textId="77777777" w:rsidR="00A6579F" w:rsidRPr="0087487B" w:rsidRDefault="00A6579F" w:rsidP="00314B37">
            <w:pPr>
              <w:pStyle w:val="NormalWeb"/>
              <w:rPr>
                <w:sz w:val="18"/>
                <w:szCs w:val="18"/>
              </w:rPr>
            </w:pPr>
            <w:r w:rsidRPr="0087487B">
              <w:rPr>
                <w:sz w:val="18"/>
                <w:szCs w:val="18"/>
              </w:rPr>
              <w:t>15–20 mg/kg</w:t>
            </w:r>
          </w:p>
        </w:tc>
        <w:tc>
          <w:tcPr>
            <w:tcW w:w="1417" w:type="dxa"/>
            <w:hideMark/>
          </w:tcPr>
          <w:p w14:paraId="0021559A" w14:textId="77777777" w:rsidR="00A6579F" w:rsidRPr="0087487B" w:rsidRDefault="00A6579F" w:rsidP="00314B37">
            <w:pPr>
              <w:pStyle w:val="NormalWeb"/>
              <w:rPr>
                <w:sz w:val="18"/>
                <w:szCs w:val="18"/>
              </w:rPr>
            </w:pPr>
            <w:r w:rsidRPr="0087487B">
              <w:rPr>
                <w:sz w:val="18"/>
                <w:szCs w:val="18"/>
              </w:rPr>
              <w:t>1000 mg</w:t>
            </w:r>
          </w:p>
        </w:tc>
        <w:tc>
          <w:tcPr>
            <w:tcW w:w="1843" w:type="dxa"/>
            <w:hideMark/>
          </w:tcPr>
          <w:p w14:paraId="19DD9DC9" w14:textId="77777777" w:rsidR="00A6579F" w:rsidRPr="0087487B" w:rsidRDefault="00A6579F" w:rsidP="00314B37">
            <w:pPr>
              <w:pStyle w:val="NormalWeb"/>
              <w:rPr>
                <w:sz w:val="18"/>
                <w:szCs w:val="18"/>
              </w:rPr>
            </w:pPr>
            <w:r w:rsidRPr="0087487B">
              <w:rPr>
                <w:sz w:val="18"/>
                <w:szCs w:val="18"/>
              </w:rPr>
              <w:t>125 mg scored, dispersible tablet 250 mg tab</w:t>
            </w:r>
          </w:p>
        </w:tc>
        <w:tc>
          <w:tcPr>
            <w:tcW w:w="1559" w:type="dxa"/>
            <w:hideMark/>
          </w:tcPr>
          <w:p w14:paraId="65FADB45" w14:textId="77777777" w:rsidR="00A6579F" w:rsidRPr="0087487B" w:rsidRDefault="00A6579F" w:rsidP="00314B37">
            <w:pPr>
              <w:pStyle w:val="NormalWeb"/>
              <w:rPr>
                <w:sz w:val="18"/>
                <w:szCs w:val="18"/>
              </w:rPr>
            </w:pPr>
            <w:r w:rsidRPr="0087487B">
              <w:rPr>
                <w:sz w:val="18"/>
                <w:szCs w:val="18"/>
              </w:rPr>
              <w:t>15–20 mg/kg</w:t>
            </w:r>
          </w:p>
        </w:tc>
        <w:tc>
          <w:tcPr>
            <w:tcW w:w="1819" w:type="dxa"/>
            <w:hideMark/>
          </w:tcPr>
          <w:p w14:paraId="63BAD790" w14:textId="77777777" w:rsidR="00A6579F" w:rsidRPr="0087487B" w:rsidRDefault="00A6579F" w:rsidP="00314B37">
            <w:pPr>
              <w:pStyle w:val="NormalWeb"/>
              <w:rPr>
                <w:sz w:val="18"/>
                <w:szCs w:val="18"/>
              </w:rPr>
            </w:pPr>
            <w:r w:rsidRPr="0087487B">
              <w:rPr>
                <w:sz w:val="18"/>
                <w:szCs w:val="18"/>
              </w:rPr>
              <w:t>Monitor thyroid function in children and adults if used for &gt; 6 months</w:t>
            </w:r>
          </w:p>
        </w:tc>
      </w:tr>
      <w:tr w:rsidR="00A6579F" w:rsidRPr="0087487B" w14:paraId="5E9E5B5F" w14:textId="77777777" w:rsidTr="00A6579F">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3C9554FA" w14:textId="77777777" w:rsidR="00A6579F" w:rsidRPr="0087487B" w:rsidRDefault="00A6579F" w:rsidP="00314B37">
            <w:pPr>
              <w:pStyle w:val="NormalWeb"/>
              <w:rPr>
                <w:b/>
                <w:sz w:val="18"/>
                <w:szCs w:val="18"/>
              </w:rPr>
            </w:pPr>
            <w:r w:rsidRPr="0087487B">
              <w:rPr>
                <w:b/>
                <w:sz w:val="18"/>
                <w:szCs w:val="18"/>
              </w:rPr>
              <w:t>PAS</w:t>
            </w:r>
          </w:p>
        </w:tc>
        <w:tc>
          <w:tcPr>
            <w:tcW w:w="1306" w:type="dxa"/>
            <w:hideMark/>
          </w:tcPr>
          <w:p w14:paraId="47E9C1A1" w14:textId="77777777" w:rsidR="00A6579F" w:rsidRPr="0087487B" w:rsidRDefault="00A6579F" w:rsidP="00314B37">
            <w:pPr>
              <w:pStyle w:val="NormalWeb"/>
              <w:rPr>
                <w:sz w:val="18"/>
                <w:szCs w:val="18"/>
              </w:rPr>
            </w:pPr>
            <w:r w:rsidRPr="0087487B">
              <w:rPr>
                <w:sz w:val="18"/>
                <w:szCs w:val="18"/>
              </w:rPr>
              <w:t>Oral</w:t>
            </w:r>
          </w:p>
        </w:tc>
        <w:tc>
          <w:tcPr>
            <w:tcW w:w="993" w:type="dxa"/>
            <w:hideMark/>
          </w:tcPr>
          <w:p w14:paraId="6DB609EA" w14:textId="77777777" w:rsidR="00A6579F" w:rsidRPr="0087487B" w:rsidRDefault="00A6579F" w:rsidP="00314B37">
            <w:pPr>
              <w:pStyle w:val="NormalWeb"/>
              <w:rPr>
                <w:sz w:val="18"/>
                <w:szCs w:val="18"/>
              </w:rPr>
            </w:pPr>
            <w:r w:rsidRPr="0087487B">
              <w:rPr>
                <w:sz w:val="18"/>
                <w:szCs w:val="18"/>
              </w:rPr>
              <w:t>200 mg/kg</w:t>
            </w:r>
          </w:p>
        </w:tc>
        <w:tc>
          <w:tcPr>
            <w:tcW w:w="1417" w:type="dxa"/>
            <w:hideMark/>
          </w:tcPr>
          <w:p w14:paraId="7BA73A55" w14:textId="77777777" w:rsidR="00A6579F" w:rsidRPr="0087487B" w:rsidRDefault="00A6579F" w:rsidP="00314B37">
            <w:pPr>
              <w:pStyle w:val="NormalWeb"/>
              <w:rPr>
                <w:sz w:val="18"/>
                <w:szCs w:val="18"/>
              </w:rPr>
            </w:pPr>
            <w:r w:rsidRPr="0087487B">
              <w:rPr>
                <w:sz w:val="18"/>
                <w:szCs w:val="18"/>
              </w:rPr>
              <w:t>4 g 2–3 times daily (12 g max)</w:t>
            </w:r>
          </w:p>
        </w:tc>
        <w:tc>
          <w:tcPr>
            <w:tcW w:w="1843" w:type="dxa"/>
            <w:hideMark/>
          </w:tcPr>
          <w:p w14:paraId="5975D779" w14:textId="77777777" w:rsidR="00A6579F" w:rsidRPr="0087487B" w:rsidRDefault="00A6579F" w:rsidP="00314B37">
            <w:pPr>
              <w:pStyle w:val="NormalWeb"/>
              <w:rPr>
                <w:sz w:val="18"/>
                <w:szCs w:val="18"/>
              </w:rPr>
            </w:pPr>
            <w:r w:rsidRPr="0087487B">
              <w:rPr>
                <w:sz w:val="18"/>
                <w:szCs w:val="18"/>
              </w:rPr>
              <w:t>4 g PAS sachet</w:t>
            </w:r>
          </w:p>
          <w:p w14:paraId="18D81BE5" w14:textId="77777777" w:rsidR="00A6579F" w:rsidRPr="0087487B" w:rsidRDefault="00A6579F" w:rsidP="00314B37">
            <w:pPr>
              <w:pStyle w:val="NormalWeb"/>
              <w:rPr>
                <w:sz w:val="18"/>
                <w:szCs w:val="18"/>
              </w:rPr>
            </w:pPr>
            <w:r w:rsidRPr="0087487B">
              <w:rPr>
                <w:sz w:val="18"/>
                <w:szCs w:val="18"/>
              </w:rPr>
              <w:t>Paediatric dosing spoon available</w:t>
            </w:r>
          </w:p>
        </w:tc>
        <w:tc>
          <w:tcPr>
            <w:tcW w:w="1559" w:type="dxa"/>
            <w:hideMark/>
          </w:tcPr>
          <w:p w14:paraId="35B2D8FD" w14:textId="77777777" w:rsidR="00A6579F" w:rsidRPr="0087487B" w:rsidRDefault="00A6579F" w:rsidP="00314B37">
            <w:pPr>
              <w:pStyle w:val="NormalWeb"/>
              <w:rPr>
                <w:sz w:val="18"/>
                <w:szCs w:val="18"/>
              </w:rPr>
            </w:pPr>
            <w:r w:rsidRPr="0087487B">
              <w:rPr>
                <w:sz w:val="18"/>
                <w:szCs w:val="18"/>
              </w:rPr>
              <w:t>200–300 mg/kg in two divided doses</w:t>
            </w:r>
          </w:p>
        </w:tc>
        <w:tc>
          <w:tcPr>
            <w:tcW w:w="1819" w:type="dxa"/>
            <w:hideMark/>
          </w:tcPr>
          <w:p w14:paraId="293B2F9D" w14:textId="77777777" w:rsidR="00A6579F" w:rsidRPr="0087487B" w:rsidRDefault="00A6579F" w:rsidP="00314B37">
            <w:pPr>
              <w:pStyle w:val="NormalWeb"/>
              <w:rPr>
                <w:sz w:val="18"/>
                <w:szCs w:val="18"/>
              </w:rPr>
            </w:pPr>
            <w:r w:rsidRPr="0087487B">
              <w:rPr>
                <w:sz w:val="18"/>
                <w:szCs w:val="18"/>
              </w:rPr>
              <w:t>Monitor thyroid function in children and adults if used for &gt; 6 months</w:t>
            </w:r>
          </w:p>
        </w:tc>
      </w:tr>
      <w:tr w:rsidR="00A6579F" w:rsidRPr="0087487B" w14:paraId="7B68720E" w14:textId="77777777" w:rsidTr="00A6579F">
        <w:trPr>
          <w:divId w:val="448665177"/>
        </w:trPr>
        <w:tc>
          <w:tcPr>
            <w:tcW w:w="0" w:type="auto"/>
            <w:tcBorders>
              <w:bottom w:val="single" w:sz="4" w:space="0" w:color="808080" w:themeColor="background1" w:themeShade="80"/>
            </w:tcBorders>
            <w:hideMark/>
          </w:tcPr>
          <w:p w14:paraId="7C243455" w14:textId="77777777" w:rsidR="00A6579F" w:rsidRPr="0087487B" w:rsidRDefault="00A6579F" w:rsidP="00314B37">
            <w:pPr>
              <w:pStyle w:val="NormalWeb"/>
              <w:rPr>
                <w:b/>
                <w:sz w:val="18"/>
                <w:szCs w:val="18"/>
              </w:rPr>
            </w:pPr>
            <w:r w:rsidRPr="0087487B">
              <w:rPr>
                <w:b/>
                <w:sz w:val="18"/>
                <w:szCs w:val="18"/>
              </w:rPr>
              <w:t>Isoniazid</w:t>
            </w:r>
          </w:p>
          <w:p w14:paraId="13F8A581" w14:textId="77777777" w:rsidR="00A6579F" w:rsidRPr="0087487B" w:rsidRDefault="00A6579F" w:rsidP="00314B37">
            <w:pPr>
              <w:pStyle w:val="NormalWeb"/>
              <w:rPr>
                <w:b/>
                <w:sz w:val="18"/>
                <w:szCs w:val="18"/>
              </w:rPr>
            </w:pPr>
            <w:r w:rsidRPr="0087487B">
              <w:rPr>
                <w:b/>
                <w:sz w:val="18"/>
                <w:szCs w:val="18"/>
              </w:rPr>
              <w:t>(</w:t>
            </w:r>
            <w:proofErr w:type="gramStart"/>
            <w:r w:rsidRPr="0087487B">
              <w:rPr>
                <w:b/>
                <w:sz w:val="18"/>
                <w:szCs w:val="18"/>
              </w:rPr>
              <w:t>high</w:t>
            </w:r>
            <w:proofErr w:type="gramEnd"/>
            <w:r w:rsidRPr="0087487B">
              <w:rPr>
                <w:b/>
                <w:sz w:val="18"/>
                <w:szCs w:val="18"/>
              </w:rPr>
              <w:t xml:space="preserve"> dose)</w:t>
            </w:r>
          </w:p>
        </w:tc>
        <w:tc>
          <w:tcPr>
            <w:tcW w:w="1306" w:type="dxa"/>
            <w:tcBorders>
              <w:bottom w:val="single" w:sz="4" w:space="0" w:color="808080" w:themeColor="background1" w:themeShade="80"/>
            </w:tcBorders>
            <w:hideMark/>
          </w:tcPr>
          <w:p w14:paraId="44F20CD2" w14:textId="77777777" w:rsidR="00A6579F" w:rsidRPr="0087487B" w:rsidRDefault="00A6579F" w:rsidP="00314B37">
            <w:pPr>
              <w:pStyle w:val="NormalWeb"/>
              <w:rPr>
                <w:sz w:val="18"/>
                <w:szCs w:val="18"/>
              </w:rPr>
            </w:pPr>
            <w:r w:rsidRPr="0087487B">
              <w:rPr>
                <w:sz w:val="18"/>
                <w:szCs w:val="18"/>
              </w:rPr>
              <w:t>Oral</w:t>
            </w:r>
          </w:p>
        </w:tc>
        <w:tc>
          <w:tcPr>
            <w:tcW w:w="993" w:type="dxa"/>
            <w:tcBorders>
              <w:bottom w:val="single" w:sz="4" w:space="0" w:color="808080" w:themeColor="background1" w:themeShade="80"/>
            </w:tcBorders>
            <w:hideMark/>
          </w:tcPr>
          <w:p w14:paraId="14E2AEA8" w14:textId="77777777" w:rsidR="00A6579F" w:rsidRPr="0087487B" w:rsidRDefault="00A6579F" w:rsidP="00314B37">
            <w:pPr>
              <w:pStyle w:val="NormalWeb"/>
              <w:rPr>
                <w:sz w:val="18"/>
                <w:szCs w:val="18"/>
              </w:rPr>
            </w:pPr>
            <w:r w:rsidRPr="0087487B">
              <w:rPr>
                <w:sz w:val="18"/>
                <w:szCs w:val="18"/>
              </w:rPr>
              <w:t>10–15 mg/kg</w:t>
            </w:r>
          </w:p>
        </w:tc>
        <w:tc>
          <w:tcPr>
            <w:tcW w:w="1417" w:type="dxa"/>
            <w:tcBorders>
              <w:bottom w:val="single" w:sz="4" w:space="0" w:color="808080" w:themeColor="background1" w:themeShade="80"/>
            </w:tcBorders>
            <w:hideMark/>
          </w:tcPr>
          <w:p w14:paraId="575318C1" w14:textId="77777777" w:rsidR="00A6579F" w:rsidRPr="0087487B" w:rsidRDefault="00A6579F" w:rsidP="00314B37">
            <w:pPr>
              <w:pStyle w:val="NormalWeb"/>
              <w:rPr>
                <w:sz w:val="18"/>
                <w:szCs w:val="18"/>
              </w:rPr>
            </w:pPr>
            <w:r w:rsidRPr="0087487B">
              <w:rPr>
                <w:sz w:val="18"/>
                <w:szCs w:val="18"/>
              </w:rPr>
              <w:t>30–45 kg 450 mg daily</w:t>
            </w:r>
          </w:p>
          <w:p w14:paraId="29E98705" w14:textId="77777777" w:rsidR="00A6579F" w:rsidRPr="0087487B" w:rsidRDefault="00A6579F" w:rsidP="00314B37">
            <w:pPr>
              <w:pStyle w:val="NormalWeb"/>
              <w:rPr>
                <w:sz w:val="18"/>
                <w:szCs w:val="18"/>
              </w:rPr>
            </w:pPr>
            <w:r w:rsidRPr="0087487B">
              <w:rPr>
                <w:sz w:val="18"/>
                <w:szCs w:val="18"/>
              </w:rPr>
              <w:t>≥ 46 kg 600 mg daily</w:t>
            </w:r>
          </w:p>
        </w:tc>
        <w:tc>
          <w:tcPr>
            <w:tcW w:w="1843" w:type="dxa"/>
            <w:tcBorders>
              <w:bottom w:val="single" w:sz="4" w:space="0" w:color="808080" w:themeColor="background1" w:themeShade="80"/>
            </w:tcBorders>
            <w:hideMark/>
          </w:tcPr>
          <w:p w14:paraId="7EED9BA9" w14:textId="77777777" w:rsidR="00A6579F" w:rsidRPr="0087487B" w:rsidRDefault="00A6579F" w:rsidP="00314B37">
            <w:pPr>
              <w:pStyle w:val="NormalWeb"/>
              <w:rPr>
                <w:sz w:val="18"/>
                <w:szCs w:val="18"/>
              </w:rPr>
            </w:pPr>
            <w:r w:rsidRPr="0087487B">
              <w:rPr>
                <w:sz w:val="18"/>
                <w:szCs w:val="18"/>
              </w:rPr>
              <w:t>50 mg/5 ml solution</w:t>
            </w:r>
          </w:p>
          <w:p w14:paraId="7C79A238" w14:textId="77777777" w:rsidR="00A6579F" w:rsidRPr="0087487B" w:rsidRDefault="00A6579F" w:rsidP="00314B37">
            <w:pPr>
              <w:pStyle w:val="NormalWeb"/>
              <w:rPr>
                <w:sz w:val="18"/>
                <w:szCs w:val="18"/>
              </w:rPr>
            </w:pPr>
            <w:r w:rsidRPr="0087487B">
              <w:rPr>
                <w:sz w:val="18"/>
                <w:szCs w:val="18"/>
              </w:rPr>
              <w:t>100 mg dispersible tablet</w:t>
            </w:r>
          </w:p>
          <w:p w14:paraId="61513A0C" w14:textId="77777777" w:rsidR="00A6579F" w:rsidRPr="0087487B" w:rsidRDefault="00A6579F" w:rsidP="00314B37">
            <w:pPr>
              <w:pStyle w:val="NormalWeb"/>
              <w:rPr>
                <w:sz w:val="18"/>
                <w:szCs w:val="18"/>
              </w:rPr>
            </w:pPr>
            <w:r w:rsidRPr="0087487B">
              <w:rPr>
                <w:sz w:val="18"/>
                <w:szCs w:val="18"/>
              </w:rPr>
              <w:t>100 mg tablet</w:t>
            </w:r>
          </w:p>
        </w:tc>
        <w:tc>
          <w:tcPr>
            <w:tcW w:w="1559" w:type="dxa"/>
            <w:tcBorders>
              <w:bottom w:val="single" w:sz="4" w:space="0" w:color="808080" w:themeColor="background1" w:themeShade="80"/>
            </w:tcBorders>
            <w:hideMark/>
          </w:tcPr>
          <w:p w14:paraId="042CDA5F" w14:textId="77777777" w:rsidR="00A6579F" w:rsidRPr="0087487B" w:rsidRDefault="00A6579F" w:rsidP="00314B37">
            <w:pPr>
              <w:pStyle w:val="NormalWeb"/>
              <w:rPr>
                <w:sz w:val="18"/>
                <w:szCs w:val="18"/>
              </w:rPr>
            </w:pPr>
            <w:r w:rsidRPr="0087487B">
              <w:rPr>
                <w:sz w:val="18"/>
                <w:szCs w:val="18"/>
              </w:rPr>
              <w:t>15–20 mg/kg</w:t>
            </w:r>
          </w:p>
        </w:tc>
        <w:tc>
          <w:tcPr>
            <w:tcW w:w="1819" w:type="dxa"/>
            <w:tcBorders>
              <w:bottom w:val="single" w:sz="4" w:space="0" w:color="808080" w:themeColor="background1" w:themeShade="80"/>
            </w:tcBorders>
            <w:hideMark/>
          </w:tcPr>
          <w:p w14:paraId="47C2133A" w14:textId="77777777" w:rsidR="00A6579F" w:rsidRPr="0087487B" w:rsidRDefault="00A6579F" w:rsidP="00314B37">
            <w:pPr>
              <w:pStyle w:val="NormalWeb"/>
              <w:rPr>
                <w:sz w:val="18"/>
                <w:szCs w:val="18"/>
              </w:rPr>
            </w:pPr>
            <w:r w:rsidRPr="0087487B">
              <w:rPr>
                <w:sz w:val="18"/>
                <w:szCs w:val="18"/>
              </w:rPr>
              <w:t xml:space="preserve">Vitamin B6 (pyridoxine) should always be used especially in children (1–2 mg/kg) and those with medical risk factors </w:t>
            </w:r>
            <w:proofErr w:type="spellStart"/>
            <w:proofErr w:type="gramStart"/>
            <w:r w:rsidRPr="0087487B">
              <w:rPr>
                <w:sz w:val="18"/>
                <w:szCs w:val="18"/>
              </w:rPr>
              <w:t>eg</w:t>
            </w:r>
            <w:proofErr w:type="spellEnd"/>
            <w:proofErr w:type="gramEnd"/>
            <w:r w:rsidRPr="0087487B">
              <w:rPr>
                <w:sz w:val="18"/>
                <w:szCs w:val="18"/>
              </w:rPr>
              <w:t xml:space="preserve"> renal disease, HIV</w:t>
            </w:r>
          </w:p>
        </w:tc>
      </w:tr>
    </w:tbl>
    <w:p w14:paraId="70EC890E" w14:textId="77777777" w:rsidR="00A6579F" w:rsidRPr="0087487B" w:rsidRDefault="00A6579F" w:rsidP="00A6579F">
      <w:pPr>
        <w:pStyle w:val="CDIfootnotes"/>
        <w:divId w:val="448665177"/>
      </w:pPr>
      <w:proofErr w:type="gramStart"/>
      <w:r w:rsidRPr="0087487B">
        <w:t>a</w:t>
      </w:r>
      <w:proofErr w:type="gramEnd"/>
      <w:r w:rsidRPr="0087487B">
        <w:tab/>
        <w:t>Adapted from WHO Operational Guidelines for Drug-resistant TB (2022) and for Children and Adolescents (2021).</w:t>
      </w:r>
    </w:p>
    <w:p w14:paraId="3D52D599" w14:textId="77777777" w:rsidR="00A6579F" w:rsidRPr="0087487B" w:rsidRDefault="00A6579F" w:rsidP="00A6579F">
      <w:pPr>
        <w:pStyle w:val="CDIfootnotes"/>
        <w:divId w:val="448665177"/>
      </w:pPr>
      <w:r w:rsidRPr="0087487B">
        <w:t>b</w:t>
      </w:r>
      <w:r w:rsidRPr="0087487B">
        <w:tab/>
      </w:r>
      <w:proofErr w:type="gramStart"/>
      <w:r w:rsidRPr="0087487B">
        <w:t>Adult</w:t>
      </w:r>
      <w:proofErr w:type="gramEnd"/>
      <w:r w:rsidRPr="0087487B">
        <w:t xml:space="preserve"> doses can be used in all children 15 years of age and older.</w:t>
      </w:r>
    </w:p>
    <w:p w14:paraId="1398ED67" w14:textId="0745FBD4" w:rsidR="00A6579F" w:rsidRPr="0087487B" w:rsidRDefault="00A6579F" w:rsidP="00A6579F">
      <w:pPr>
        <w:pStyle w:val="CDIfootnotes"/>
        <w:divId w:val="448665177"/>
      </w:pPr>
      <w:r w:rsidRPr="0087487B">
        <w:t>c</w:t>
      </w:r>
      <w:r w:rsidRPr="0087487B">
        <w:tab/>
      </w:r>
      <w:proofErr w:type="gramStart"/>
      <w:r w:rsidRPr="0087487B">
        <w:t>In</w:t>
      </w:r>
      <w:proofErr w:type="gramEnd"/>
      <w:r w:rsidRPr="0087487B">
        <w:t xml:space="preserve"> children: (1) please refer to WHO operational handbook on tuberculosis. Module 5: management of tuberculosis in children and adolescents (Annex 6) for dosing of children according to weight bands or Module 4: treatment: drug-resistant tuberculosis treatment (Annex); (2) dissolving of crushed adult tablets or capsule contents in 10 ml of water may be required in the absence of child friendly preparations; (3)all child friendly preparations are available via the Global Drug Facility (GDF).</w:t>
      </w:r>
    </w:p>
    <w:p w14:paraId="6A202383" w14:textId="47A15724" w:rsidR="00F605B4" w:rsidRPr="0087487B" w:rsidRDefault="00F605B4">
      <w:pPr>
        <w:pStyle w:val="Heading2"/>
        <w:divId w:val="448665177"/>
        <w:rPr>
          <w:rFonts w:eastAsia="Times New Roman"/>
        </w:rPr>
      </w:pPr>
      <w:r w:rsidRPr="0087487B">
        <w:rPr>
          <w:rFonts w:eastAsia="Times New Roman"/>
        </w:rPr>
        <w:t xml:space="preserve">Appendix A.3: Recommended monitoring schedule </w:t>
      </w:r>
    </w:p>
    <w:p w14:paraId="2F78808A" w14:textId="77777777" w:rsidR="00CE4C92" w:rsidRPr="0087487B" w:rsidRDefault="00CE4C92" w:rsidP="00CE4C92">
      <w:pPr>
        <w:pStyle w:val="CDIFigures"/>
        <w:divId w:val="448665177"/>
      </w:pPr>
      <w:r w:rsidRPr="0087487B">
        <w:rPr>
          <w:rStyle w:val="Strong"/>
          <w:b/>
          <w:bCs w:val="0"/>
        </w:rPr>
        <w:t xml:space="preserve">Table A.3.1: </w:t>
      </w:r>
      <w:bookmarkStart w:id="8" w:name="_Hlk147997032"/>
      <w:r w:rsidRPr="0087487B">
        <w:rPr>
          <w:rStyle w:val="Strong"/>
          <w:b/>
          <w:bCs w:val="0"/>
        </w:rPr>
        <w:t>Clinical assessments</w:t>
      </w:r>
      <w:bookmarkEnd w:id="8"/>
      <w:r w:rsidRPr="0087487B">
        <w:rPr>
          <w:rStyle w:val="Strong"/>
          <w:b/>
          <w:bCs w:val="0"/>
        </w:rPr>
        <w:t xml:space="preserve"> </w:t>
      </w:r>
    </w:p>
    <w:tbl>
      <w:tblPr>
        <w:tblStyle w:val="CDI-StandardTable"/>
        <w:tblW w:w="0" w:type="auto"/>
        <w:tblCellMar>
          <w:top w:w="113" w:type="dxa"/>
          <w:bottom w:w="113" w:type="dxa"/>
        </w:tblCellMar>
        <w:tblLook w:val="04A0" w:firstRow="1" w:lastRow="0" w:firstColumn="1" w:lastColumn="0" w:noHBand="0" w:noVBand="1"/>
        <w:tblDescription w:val="This table provides scheduling recommendations for the following screening tests: clinical evaluation; DOT worker screen; weight / nutrition status; visual acuities/colour vision; peripheral neuropathy screen; and psychological screen – depression, mood changes."/>
      </w:tblPr>
      <w:tblGrid>
        <w:gridCol w:w="3670"/>
        <w:gridCol w:w="6796"/>
      </w:tblGrid>
      <w:tr w:rsidR="00CE4C92" w:rsidRPr="0087487B" w14:paraId="1CC3062F" w14:textId="77777777" w:rsidTr="00CE4C92">
        <w:trPr>
          <w:cnfStyle w:val="100000000000" w:firstRow="1" w:lastRow="0" w:firstColumn="0" w:lastColumn="0" w:oddVBand="0" w:evenVBand="0" w:oddHBand="0" w:evenHBand="0" w:firstRowFirstColumn="0" w:firstRowLastColumn="0" w:lastRowFirstColumn="0" w:lastRowLastColumn="0"/>
          <w:divId w:val="448665177"/>
        </w:trPr>
        <w:tc>
          <w:tcPr>
            <w:tcW w:w="0" w:type="auto"/>
            <w:hideMark/>
          </w:tcPr>
          <w:p w14:paraId="3CE7F64A" w14:textId="77777777" w:rsidR="00CE4C92" w:rsidRPr="0087487B" w:rsidRDefault="00CE4C92" w:rsidP="00314B37">
            <w:pPr>
              <w:pStyle w:val="NormalWeb"/>
              <w:jc w:val="left"/>
              <w:rPr>
                <w:sz w:val="18"/>
                <w:szCs w:val="18"/>
              </w:rPr>
            </w:pPr>
            <w:r w:rsidRPr="0087487B">
              <w:rPr>
                <w:sz w:val="18"/>
                <w:szCs w:val="18"/>
              </w:rPr>
              <w:t>Screening test</w:t>
            </w:r>
          </w:p>
        </w:tc>
        <w:tc>
          <w:tcPr>
            <w:tcW w:w="0" w:type="auto"/>
            <w:hideMark/>
          </w:tcPr>
          <w:p w14:paraId="29E04BA7" w14:textId="77777777" w:rsidR="00CE4C92" w:rsidRPr="0087487B" w:rsidRDefault="00CE4C92" w:rsidP="00314B37">
            <w:pPr>
              <w:pStyle w:val="NormalWeb"/>
              <w:jc w:val="left"/>
              <w:rPr>
                <w:sz w:val="18"/>
                <w:szCs w:val="18"/>
              </w:rPr>
            </w:pPr>
            <w:r w:rsidRPr="0087487B">
              <w:rPr>
                <w:sz w:val="18"/>
                <w:szCs w:val="18"/>
              </w:rPr>
              <w:t>Schedule</w:t>
            </w:r>
          </w:p>
        </w:tc>
      </w:tr>
      <w:tr w:rsidR="00CE4C92" w:rsidRPr="0087487B" w14:paraId="0BFE849C" w14:textId="77777777" w:rsidTr="00CE4C92">
        <w:trPr>
          <w:divId w:val="448665177"/>
        </w:trPr>
        <w:tc>
          <w:tcPr>
            <w:tcW w:w="0" w:type="auto"/>
            <w:hideMark/>
          </w:tcPr>
          <w:p w14:paraId="00D0FB9D" w14:textId="77777777" w:rsidR="00CE4C92" w:rsidRPr="0087487B" w:rsidRDefault="00CE4C92" w:rsidP="00314B37">
            <w:pPr>
              <w:pStyle w:val="NormalWeb"/>
              <w:jc w:val="left"/>
              <w:rPr>
                <w:sz w:val="18"/>
                <w:szCs w:val="18"/>
              </w:rPr>
            </w:pPr>
            <w:r w:rsidRPr="0087487B">
              <w:rPr>
                <w:sz w:val="18"/>
                <w:szCs w:val="18"/>
              </w:rPr>
              <w:t>Clinical evaluation</w:t>
            </w:r>
          </w:p>
        </w:tc>
        <w:tc>
          <w:tcPr>
            <w:tcW w:w="0" w:type="auto"/>
            <w:hideMark/>
          </w:tcPr>
          <w:p w14:paraId="6C5174E6" w14:textId="77777777" w:rsidR="00CE4C92" w:rsidRPr="0087487B" w:rsidRDefault="00CE4C92" w:rsidP="00314B37">
            <w:pPr>
              <w:pStyle w:val="NormalWeb"/>
              <w:jc w:val="left"/>
              <w:rPr>
                <w:sz w:val="18"/>
                <w:szCs w:val="18"/>
              </w:rPr>
            </w:pPr>
            <w:r w:rsidRPr="0087487B">
              <w:rPr>
                <w:sz w:val="18"/>
                <w:szCs w:val="18"/>
              </w:rPr>
              <w:t>Inpatient care: daily until tolerating treatment</w:t>
            </w:r>
            <w:r w:rsidRPr="0087487B">
              <w:rPr>
                <w:sz w:val="18"/>
                <w:szCs w:val="18"/>
              </w:rPr>
              <w:br/>
              <w:t>Outpatient care: baseline, weekly until tolerating treatment, and then at least monthly</w:t>
            </w:r>
          </w:p>
        </w:tc>
      </w:tr>
      <w:tr w:rsidR="00CE4C92" w:rsidRPr="0087487B" w14:paraId="4FFABAE5" w14:textId="77777777" w:rsidTr="00CE4C92">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3E3206A6" w14:textId="77777777" w:rsidR="00CE4C92" w:rsidRPr="0087487B" w:rsidRDefault="00CE4C92" w:rsidP="00314B37">
            <w:pPr>
              <w:pStyle w:val="NormalWeb"/>
              <w:jc w:val="left"/>
              <w:rPr>
                <w:sz w:val="18"/>
                <w:szCs w:val="18"/>
              </w:rPr>
            </w:pPr>
            <w:r w:rsidRPr="0087487B">
              <w:rPr>
                <w:sz w:val="18"/>
                <w:szCs w:val="18"/>
              </w:rPr>
              <w:t>DOT worker screen</w:t>
            </w:r>
          </w:p>
        </w:tc>
        <w:tc>
          <w:tcPr>
            <w:tcW w:w="0" w:type="auto"/>
            <w:hideMark/>
          </w:tcPr>
          <w:p w14:paraId="2035EE11" w14:textId="77777777" w:rsidR="00CE4C92" w:rsidRPr="0087487B" w:rsidRDefault="00CE4C92" w:rsidP="00314B37">
            <w:pPr>
              <w:pStyle w:val="NormalWeb"/>
              <w:jc w:val="left"/>
              <w:rPr>
                <w:sz w:val="18"/>
                <w:szCs w:val="18"/>
              </w:rPr>
            </w:pPr>
            <w:r w:rsidRPr="0087487B">
              <w:rPr>
                <w:sz w:val="18"/>
                <w:szCs w:val="18"/>
              </w:rPr>
              <w:t>At every DOT encounter for clinical well-being and adverse drug reactions.</w:t>
            </w:r>
          </w:p>
        </w:tc>
      </w:tr>
      <w:tr w:rsidR="00CE4C92" w:rsidRPr="0087487B" w14:paraId="37802E0E" w14:textId="77777777" w:rsidTr="00CE4C92">
        <w:trPr>
          <w:divId w:val="448665177"/>
        </w:trPr>
        <w:tc>
          <w:tcPr>
            <w:tcW w:w="0" w:type="auto"/>
            <w:hideMark/>
          </w:tcPr>
          <w:p w14:paraId="60E0D049" w14:textId="77777777" w:rsidR="00CE4C92" w:rsidRPr="0087487B" w:rsidRDefault="00CE4C92" w:rsidP="00314B37">
            <w:pPr>
              <w:pStyle w:val="NormalWeb"/>
              <w:jc w:val="left"/>
              <w:rPr>
                <w:sz w:val="18"/>
                <w:szCs w:val="18"/>
              </w:rPr>
            </w:pPr>
            <w:r w:rsidRPr="0087487B">
              <w:rPr>
                <w:sz w:val="18"/>
                <w:szCs w:val="18"/>
              </w:rPr>
              <w:t>Weight / nutrition status</w:t>
            </w:r>
          </w:p>
        </w:tc>
        <w:tc>
          <w:tcPr>
            <w:tcW w:w="0" w:type="auto"/>
            <w:hideMark/>
          </w:tcPr>
          <w:p w14:paraId="2BA36C58" w14:textId="77777777" w:rsidR="00CE4C92" w:rsidRPr="0087487B" w:rsidRDefault="00CE4C92" w:rsidP="00314B37">
            <w:pPr>
              <w:pStyle w:val="NormalWeb"/>
              <w:jc w:val="left"/>
              <w:rPr>
                <w:sz w:val="18"/>
                <w:szCs w:val="18"/>
              </w:rPr>
            </w:pPr>
            <w:r w:rsidRPr="0087487B">
              <w:rPr>
                <w:sz w:val="18"/>
                <w:szCs w:val="18"/>
              </w:rPr>
              <w:t>Baseline, then monthly</w:t>
            </w:r>
          </w:p>
        </w:tc>
      </w:tr>
      <w:tr w:rsidR="00CE4C92" w:rsidRPr="0087487B" w14:paraId="4A56005E" w14:textId="77777777" w:rsidTr="00CE4C92">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4B73B0DE" w14:textId="77777777" w:rsidR="00CE4C92" w:rsidRPr="0087487B" w:rsidRDefault="00CE4C92" w:rsidP="00314B37">
            <w:pPr>
              <w:pStyle w:val="NormalWeb"/>
              <w:jc w:val="left"/>
              <w:rPr>
                <w:sz w:val="18"/>
                <w:szCs w:val="18"/>
              </w:rPr>
            </w:pPr>
            <w:r w:rsidRPr="0087487B">
              <w:rPr>
                <w:sz w:val="18"/>
                <w:szCs w:val="18"/>
              </w:rPr>
              <w:t>Visual acuities/colour vision</w:t>
            </w:r>
          </w:p>
        </w:tc>
        <w:tc>
          <w:tcPr>
            <w:tcW w:w="0" w:type="auto"/>
            <w:hideMark/>
          </w:tcPr>
          <w:p w14:paraId="30551010" w14:textId="77777777" w:rsidR="00CE4C92" w:rsidRPr="0087487B" w:rsidRDefault="00CE4C92" w:rsidP="00314B37">
            <w:pPr>
              <w:pStyle w:val="NormalWeb"/>
              <w:jc w:val="left"/>
              <w:rPr>
                <w:sz w:val="18"/>
                <w:szCs w:val="18"/>
              </w:rPr>
            </w:pPr>
            <w:r w:rsidRPr="0087487B">
              <w:rPr>
                <w:sz w:val="18"/>
                <w:szCs w:val="18"/>
              </w:rPr>
              <w:t>Baseline, at least monthly (linezolid, ethambutol, isoniazid)</w:t>
            </w:r>
          </w:p>
        </w:tc>
      </w:tr>
      <w:tr w:rsidR="00CE4C92" w:rsidRPr="0087487B" w14:paraId="1FEB1880" w14:textId="77777777" w:rsidTr="00CE4C92">
        <w:trPr>
          <w:divId w:val="448665177"/>
        </w:trPr>
        <w:tc>
          <w:tcPr>
            <w:tcW w:w="0" w:type="auto"/>
            <w:hideMark/>
          </w:tcPr>
          <w:p w14:paraId="6058E5B8" w14:textId="77777777" w:rsidR="00CE4C92" w:rsidRPr="0087487B" w:rsidRDefault="00CE4C92" w:rsidP="00314B37">
            <w:pPr>
              <w:pStyle w:val="NormalWeb"/>
              <w:jc w:val="left"/>
              <w:rPr>
                <w:sz w:val="18"/>
                <w:szCs w:val="18"/>
              </w:rPr>
            </w:pPr>
            <w:r w:rsidRPr="0087487B">
              <w:rPr>
                <w:sz w:val="18"/>
                <w:szCs w:val="18"/>
              </w:rPr>
              <w:t>Peripheral neuropathy screen</w:t>
            </w:r>
          </w:p>
        </w:tc>
        <w:tc>
          <w:tcPr>
            <w:tcW w:w="0" w:type="auto"/>
            <w:hideMark/>
          </w:tcPr>
          <w:p w14:paraId="4D71C04D" w14:textId="77777777" w:rsidR="00CE4C92" w:rsidRPr="0087487B" w:rsidRDefault="00CE4C92" w:rsidP="00314B37">
            <w:pPr>
              <w:pStyle w:val="NormalWeb"/>
              <w:jc w:val="left"/>
              <w:rPr>
                <w:sz w:val="18"/>
                <w:szCs w:val="18"/>
              </w:rPr>
            </w:pPr>
            <w:r w:rsidRPr="0087487B">
              <w:rPr>
                <w:sz w:val="18"/>
                <w:szCs w:val="18"/>
              </w:rPr>
              <w:t xml:space="preserve">Each clinical assessment and/or as clinically </w:t>
            </w:r>
            <w:proofErr w:type="gramStart"/>
            <w:r w:rsidRPr="0087487B">
              <w:rPr>
                <w:sz w:val="18"/>
                <w:szCs w:val="18"/>
              </w:rPr>
              <w:t>indicated</w:t>
            </w:r>
            <w:proofErr w:type="gramEnd"/>
            <w:r w:rsidRPr="0087487B">
              <w:rPr>
                <w:sz w:val="18"/>
                <w:szCs w:val="18"/>
              </w:rPr>
              <w:t xml:space="preserve"> (linezolid, isoniazid)</w:t>
            </w:r>
          </w:p>
        </w:tc>
      </w:tr>
      <w:tr w:rsidR="00CE4C92" w:rsidRPr="0087487B" w14:paraId="7C2C200B" w14:textId="77777777" w:rsidTr="00CE4C92">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1917A7C4" w14:textId="77777777" w:rsidR="00CE4C92" w:rsidRPr="0087487B" w:rsidRDefault="00CE4C92" w:rsidP="00314B37">
            <w:pPr>
              <w:pStyle w:val="NormalWeb"/>
              <w:jc w:val="left"/>
              <w:rPr>
                <w:sz w:val="18"/>
                <w:szCs w:val="18"/>
              </w:rPr>
            </w:pPr>
            <w:r w:rsidRPr="0087487B">
              <w:rPr>
                <w:sz w:val="18"/>
                <w:szCs w:val="18"/>
              </w:rPr>
              <w:t>Psychological screen – depression, mood changes</w:t>
            </w:r>
          </w:p>
        </w:tc>
        <w:tc>
          <w:tcPr>
            <w:tcW w:w="0" w:type="auto"/>
            <w:hideMark/>
          </w:tcPr>
          <w:p w14:paraId="3B8BC5B2" w14:textId="77777777" w:rsidR="00CE4C92" w:rsidRPr="0087487B" w:rsidRDefault="00CE4C92" w:rsidP="00314B37">
            <w:pPr>
              <w:pStyle w:val="NormalWeb"/>
              <w:jc w:val="left"/>
              <w:rPr>
                <w:sz w:val="18"/>
                <w:szCs w:val="18"/>
              </w:rPr>
            </w:pPr>
            <w:r w:rsidRPr="0087487B">
              <w:rPr>
                <w:sz w:val="18"/>
                <w:szCs w:val="18"/>
              </w:rPr>
              <w:t xml:space="preserve">Each clinical assessment and/or as clinically </w:t>
            </w:r>
            <w:proofErr w:type="gramStart"/>
            <w:r w:rsidRPr="0087487B">
              <w:rPr>
                <w:sz w:val="18"/>
                <w:szCs w:val="18"/>
              </w:rPr>
              <w:t>indicated</w:t>
            </w:r>
            <w:proofErr w:type="gramEnd"/>
            <w:r w:rsidRPr="0087487B">
              <w:rPr>
                <w:sz w:val="18"/>
                <w:szCs w:val="18"/>
              </w:rPr>
              <w:t xml:space="preserve"> (</w:t>
            </w:r>
            <w:proofErr w:type="spellStart"/>
            <w:r w:rsidRPr="0087487B">
              <w:rPr>
                <w:sz w:val="18"/>
                <w:szCs w:val="18"/>
              </w:rPr>
              <w:t>cycloserine</w:t>
            </w:r>
            <w:proofErr w:type="spellEnd"/>
            <w:r w:rsidRPr="0087487B">
              <w:rPr>
                <w:sz w:val="18"/>
                <w:szCs w:val="18"/>
              </w:rPr>
              <w:t>, moxifloxacin/levofloxacin)</w:t>
            </w:r>
          </w:p>
        </w:tc>
      </w:tr>
    </w:tbl>
    <w:p w14:paraId="5AD8D220" w14:textId="77777777" w:rsidR="00CE4C92" w:rsidRPr="0087487B" w:rsidRDefault="00CE4C92">
      <w:pPr>
        <w:rPr>
          <w:rStyle w:val="Strong"/>
        </w:rPr>
      </w:pPr>
      <w:r w:rsidRPr="0087487B">
        <w:rPr>
          <w:rStyle w:val="Strong"/>
        </w:rPr>
        <w:br w:type="page"/>
      </w:r>
    </w:p>
    <w:p w14:paraId="766EA764" w14:textId="58F6F829" w:rsidR="00F605B4" w:rsidRPr="0087487B" w:rsidRDefault="00F605B4">
      <w:pPr>
        <w:pStyle w:val="NormalWeb"/>
        <w:divId w:val="448665177"/>
      </w:pPr>
      <w:r w:rsidRPr="0087487B">
        <w:rPr>
          <w:rStyle w:val="Strong"/>
        </w:rPr>
        <w:lastRenderedPageBreak/>
        <w:t>Table A.3.2: Microbiological assessments</w:t>
      </w:r>
      <w:r w:rsidRPr="0087487B">
        <w:t xml:space="preserve"> </w:t>
      </w:r>
    </w:p>
    <w:tbl>
      <w:tblPr>
        <w:tblStyle w:val="CDI-StandardTable"/>
        <w:tblW w:w="0" w:type="auto"/>
        <w:tblLook w:val="04A0" w:firstRow="1" w:lastRow="0" w:firstColumn="1" w:lastColumn="0" w:noHBand="0" w:noVBand="1"/>
        <w:tblDescription w:val="This table provides scheduling recommendations for the following assessment methods: sputum smear microscopy; sputum culture; and drug susceptibility testing (DST)."/>
      </w:tblPr>
      <w:tblGrid>
        <w:gridCol w:w="2253"/>
        <w:gridCol w:w="8213"/>
      </w:tblGrid>
      <w:tr w:rsidR="00CB1C1E" w:rsidRPr="0087487B" w14:paraId="0354B7B0" w14:textId="77777777" w:rsidTr="00CB1C1E">
        <w:trPr>
          <w:cnfStyle w:val="100000000000" w:firstRow="1" w:lastRow="0" w:firstColumn="0" w:lastColumn="0" w:oddVBand="0" w:evenVBand="0" w:oddHBand="0" w:evenHBand="0" w:firstRowFirstColumn="0" w:firstRowLastColumn="0" w:lastRowFirstColumn="0" w:lastRowLastColumn="0"/>
          <w:divId w:val="448665177"/>
        </w:trPr>
        <w:tc>
          <w:tcPr>
            <w:tcW w:w="0" w:type="auto"/>
            <w:hideMark/>
          </w:tcPr>
          <w:p w14:paraId="739E5D03" w14:textId="77777777" w:rsidR="00CB1C1E" w:rsidRPr="0087487B" w:rsidRDefault="00CB1C1E" w:rsidP="00314B37">
            <w:pPr>
              <w:pStyle w:val="NormalWeb"/>
              <w:jc w:val="left"/>
              <w:rPr>
                <w:sz w:val="18"/>
                <w:szCs w:val="18"/>
              </w:rPr>
            </w:pPr>
            <w:r w:rsidRPr="0087487B">
              <w:rPr>
                <w:sz w:val="18"/>
                <w:szCs w:val="18"/>
              </w:rPr>
              <w:t>Assessment method</w:t>
            </w:r>
          </w:p>
        </w:tc>
        <w:tc>
          <w:tcPr>
            <w:tcW w:w="0" w:type="auto"/>
            <w:hideMark/>
          </w:tcPr>
          <w:p w14:paraId="1D633E2B" w14:textId="77777777" w:rsidR="00CB1C1E" w:rsidRPr="0087487B" w:rsidRDefault="00CB1C1E" w:rsidP="00314B37">
            <w:pPr>
              <w:pStyle w:val="NormalWeb"/>
              <w:jc w:val="left"/>
              <w:rPr>
                <w:sz w:val="18"/>
                <w:szCs w:val="18"/>
              </w:rPr>
            </w:pPr>
            <w:r w:rsidRPr="0087487B">
              <w:rPr>
                <w:sz w:val="18"/>
                <w:szCs w:val="18"/>
              </w:rPr>
              <w:t>Recommendation</w:t>
            </w:r>
          </w:p>
        </w:tc>
      </w:tr>
      <w:tr w:rsidR="00CB1C1E" w:rsidRPr="0087487B" w14:paraId="682FD427" w14:textId="77777777" w:rsidTr="00CB1C1E">
        <w:trPr>
          <w:divId w:val="448665177"/>
        </w:trPr>
        <w:tc>
          <w:tcPr>
            <w:tcW w:w="0" w:type="auto"/>
            <w:hideMark/>
          </w:tcPr>
          <w:p w14:paraId="64179A06" w14:textId="77777777" w:rsidR="00CB1C1E" w:rsidRPr="0087487B" w:rsidRDefault="00CB1C1E" w:rsidP="00314B37">
            <w:pPr>
              <w:pStyle w:val="NormalWeb"/>
              <w:jc w:val="left"/>
              <w:rPr>
                <w:b/>
                <w:sz w:val="18"/>
                <w:szCs w:val="18"/>
              </w:rPr>
            </w:pPr>
            <w:r w:rsidRPr="0087487B">
              <w:rPr>
                <w:b/>
                <w:sz w:val="18"/>
                <w:szCs w:val="18"/>
              </w:rPr>
              <w:t>Sputum smear microscopy</w:t>
            </w:r>
          </w:p>
        </w:tc>
        <w:tc>
          <w:tcPr>
            <w:tcW w:w="0" w:type="auto"/>
            <w:hideMark/>
          </w:tcPr>
          <w:p w14:paraId="787CD622" w14:textId="77777777" w:rsidR="00CB1C1E" w:rsidRPr="0087487B" w:rsidRDefault="00CB1C1E" w:rsidP="00314B37">
            <w:pPr>
              <w:pStyle w:val="NormalWeb"/>
              <w:jc w:val="left"/>
              <w:rPr>
                <w:sz w:val="18"/>
                <w:szCs w:val="18"/>
              </w:rPr>
            </w:pPr>
            <w:r w:rsidRPr="0087487B">
              <w:rPr>
                <w:sz w:val="18"/>
                <w:szCs w:val="18"/>
              </w:rPr>
              <w:t xml:space="preserve">Monthly until treatment </w:t>
            </w:r>
            <w:proofErr w:type="gramStart"/>
            <w:r w:rsidRPr="0087487B">
              <w:rPr>
                <w:sz w:val="18"/>
                <w:szCs w:val="18"/>
              </w:rPr>
              <w:t>is completed</w:t>
            </w:r>
            <w:proofErr w:type="gramEnd"/>
            <w:r w:rsidRPr="0087487B">
              <w:rPr>
                <w:sz w:val="18"/>
                <w:szCs w:val="18"/>
              </w:rPr>
              <w:t>.</w:t>
            </w:r>
            <w:r w:rsidRPr="0087487B">
              <w:rPr>
                <w:sz w:val="18"/>
                <w:szCs w:val="18"/>
              </w:rPr>
              <w:br/>
              <w:t xml:space="preserve">(Gene </w:t>
            </w:r>
            <w:proofErr w:type="spellStart"/>
            <w:r w:rsidRPr="0087487B">
              <w:rPr>
                <w:sz w:val="18"/>
                <w:szCs w:val="18"/>
              </w:rPr>
              <w:t>Xpert</w:t>
            </w:r>
            <w:proofErr w:type="spellEnd"/>
            <w:r w:rsidRPr="0087487B">
              <w:rPr>
                <w:sz w:val="18"/>
                <w:szCs w:val="18"/>
              </w:rPr>
              <w:t xml:space="preserve"> is not recommended for monitoring except when treatment failure is suspected in drug sensitive or H-resistant cases)</w:t>
            </w:r>
          </w:p>
        </w:tc>
      </w:tr>
      <w:tr w:rsidR="00CB1C1E" w:rsidRPr="0087487B" w14:paraId="4281BFC7" w14:textId="77777777" w:rsidTr="00CB1C1E">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0DEADB79" w14:textId="77777777" w:rsidR="00CB1C1E" w:rsidRPr="0087487B" w:rsidRDefault="00CB1C1E" w:rsidP="00314B37">
            <w:pPr>
              <w:pStyle w:val="NormalWeb"/>
              <w:jc w:val="left"/>
              <w:rPr>
                <w:b/>
                <w:sz w:val="18"/>
                <w:szCs w:val="18"/>
              </w:rPr>
            </w:pPr>
            <w:r w:rsidRPr="0087487B">
              <w:rPr>
                <w:b/>
                <w:sz w:val="18"/>
                <w:szCs w:val="18"/>
              </w:rPr>
              <w:t>Sputum culture</w:t>
            </w:r>
          </w:p>
        </w:tc>
        <w:tc>
          <w:tcPr>
            <w:tcW w:w="0" w:type="auto"/>
            <w:hideMark/>
          </w:tcPr>
          <w:p w14:paraId="05F27BBD" w14:textId="77777777" w:rsidR="00CB1C1E" w:rsidRPr="0087487B" w:rsidRDefault="00CB1C1E" w:rsidP="00314B37">
            <w:pPr>
              <w:pStyle w:val="NormalWeb"/>
              <w:jc w:val="left"/>
              <w:rPr>
                <w:sz w:val="18"/>
                <w:szCs w:val="18"/>
              </w:rPr>
            </w:pPr>
            <w:r w:rsidRPr="0087487B">
              <w:rPr>
                <w:sz w:val="18"/>
                <w:szCs w:val="18"/>
              </w:rPr>
              <w:t>Monthly</w:t>
            </w:r>
          </w:p>
        </w:tc>
      </w:tr>
      <w:tr w:rsidR="00CB1C1E" w:rsidRPr="0087487B" w14:paraId="3C669A14" w14:textId="77777777" w:rsidTr="00CB1C1E">
        <w:trPr>
          <w:divId w:val="448665177"/>
        </w:trPr>
        <w:tc>
          <w:tcPr>
            <w:tcW w:w="0" w:type="auto"/>
            <w:tcBorders>
              <w:bottom w:val="single" w:sz="4" w:space="0" w:color="808080" w:themeColor="background1" w:themeShade="80"/>
            </w:tcBorders>
            <w:hideMark/>
          </w:tcPr>
          <w:p w14:paraId="06A6FF07" w14:textId="77777777" w:rsidR="00CB1C1E" w:rsidRPr="0087487B" w:rsidRDefault="00CB1C1E" w:rsidP="00314B37">
            <w:pPr>
              <w:pStyle w:val="NormalWeb"/>
              <w:jc w:val="left"/>
              <w:rPr>
                <w:b/>
                <w:sz w:val="18"/>
                <w:szCs w:val="18"/>
              </w:rPr>
            </w:pPr>
            <w:r w:rsidRPr="0087487B">
              <w:rPr>
                <w:b/>
                <w:sz w:val="18"/>
                <w:szCs w:val="18"/>
              </w:rPr>
              <w:t>Drug susceptibility testing (DST)</w:t>
            </w:r>
          </w:p>
        </w:tc>
        <w:tc>
          <w:tcPr>
            <w:tcW w:w="0" w:type="auto"/>
            <w:tcBorders>
              <w:bottom w:val="single" w:sz="4" w:space="0" w:color="808080" w:themeColor="background1" w:themeShade="80"/>
            </w:tcBorders>
            <w:hideMark/>
          </w:tcPr>
          <w:p w14:paraId="4F9258D4" w14:textId="77777777" w:rsidR="00CB1C1E" w:rsidRPr="0087487B" w:rsidRDefault="00CB1C1E" w:rsidP="00314B37">
            <w:pPr>
              <w:pStyle w:val="NormalWeb"/>
              <w:jc w:val="left"/>
              <w:rPr>
                <w:sz w:val="18"/>
                <w:szCs w:val="18"/>
              </w:rPr>
            </w:pPr>
            <w:r w:rsidRPr="0087487B">
              <w:rPr>
                <w:sz w:val="18"/>
                <w:szCs w:val="18"/>
              </w:rPr>
              <w:t>Baseline, repeat at 3–4 months if still culture positive or if following culture conversion to negative, reversion to positive occurs.</w:t>
            </w:r>
          </w:p>
        </w:tc>
      </w:tr>
    </w:tbl>
    <w:p w14:paraId="1CD13E64" w14:textId="77777777" w:rsidR="00B313E8" w:rsidRPr="0087487B" w:rsidRDefault="00B313E8" w:rsidP="00B313E8">
      <w:pPr>
        <w:pStyle w:val="NormalWeb"/>
        <w:divId w:val="448665177"/>
      </w:pPr>
      <w:r w:rsidRPr="0087487B">
        <w:rPr>
          <w:rStyle w:val="Strong"/>
        </w:rPr>
        <w:t>Table A.3.3: Routine drug safety monitoring</w:t>
      </w:r>
    </w:p>
    <w:tbl>
      <w:tblPr>
        <w:tblStyle w:val="CDI-StandardTable"/>
        <w:tblW w:w="0" w:type="auto"/>
        <w:tblLook w:val="04A0" w:firstRow="1" w:lastRow="0" w:firstColumn="1" w:lastColumn="0" w:noHBand="0" w:noVBand="1"/>
        <w:tblDescription w:val="This table lists common and less frequent adverse reactions, and provides monitoring recommendations, for the following TB medications: levofloxacin; moxifloxacin; bedaquiline; linezolid; pretomanid; clofazimine; cycloserine; ethambutol; pyrazinamide; delamanid; amikacin; streptomycin; imipenem/cilastatin (or meropenem/clavulanic acid); ethionamide (or prothionamide); and PAS (para-aminosalicylic acid)."/>
      </w:tblPr>
      <w:tblGrid>
        <w:gridCol w:w="1930"/>
        <w:gridCol w:w="2510"/>
        <w:gridCol w:w="3336"/>
        <w:gridCol w:w="2690"/>
      </w:tblGrid>
      <w:tr w:rsidR="00B313E8" w:rsidRPr="0087487B" w14:paraId="1B5FF8B8" w14:textId="77777777" w:rsidTr="00B313E8">
        <w:trPr>
          <w:cnfStyle w:val="100000000000" w:firstRow="1" w:lastRow="0" w:firstColumn="0" w:lastColumn="0" w:oddVBand="0" w:evenVBand="0" w:oddHBand="0" w:evenHBand="0" w:firstRowFirstColumn="0" w:firstRowLastColumn="0" w:lastRowFirstColumn="0" w:lastRowLastColumn="0"/>
          <w:divId w:val="448665177"/>
          <w:tblHeader/>
        </w:trPr>
        <w:tc>
          <w:tcPr>
            <w:tcW w:w="0" w:type="auto"/>
            <w:vMerge w:val="restart"/>
            <w:hideMark/>
          </w:tcPr>
          <w:p w14:paraId="22535367" w14:textId="77777777" w:rsidR="00B313E8" w:rsidRPr="0087487B" w:rsidRDefault="00B313E8" w:rsidP="00314B37">
            <w:pPr>
              <w:pStyle w:val="NormalWeb"/>
              <w:rPr>
                <w:sz w:val="18"/>
                <w:szCs w:val="18"/>
              </w:rPr>
            </w:pPr>
            <w:r w:rsidRPr="0087487B">
              <w:rPr>
                <w:sz w:val="18"/>
                <w:szCs w:val="18"/>
              </w:rPr>
              <w:t>TB medication</w:t>
            </w:r>
          </w:p>
        </w:tc>
        <w:tc>
          <w:tcPr>
            <w:tcW w:w="0" w:type="auto"/>
            <w:gridSpan w:val="2"/>
            <w:hideMark/>
          </w:tcPr>
          <w:p w14:paraId="71B35E6C" w14:textId="77777777" w:rsidR="00B313E8" w:rsidRPr="0087487B" w:rsidRDefault="00B313E8" w:rsidP="00314B37">
            <w:pPr>
              <w:pStyle w:val="NormalWeb"/>
              <w:jc w:val="left"/>
              <w:rPr>
                <w:sz w:val="18"/>
                <w:szCs w:val="18"/>
              </w:rPr>
            </w:pPr>
            <w:r w:rsidRPr="0087487B">
              <w:rPr>
                <w:sz w:val="18"/>
                <w:szCs w:val="18"/>
              </w:rPr>
              <w:t>Adverse reactions</w:t>
            </w:r>
          </w:p>
        </w:tc>
        <w:tc>
          <w:tcPr>
            <w:tcW w:w="0" w:type="auto"/>
            <w:vMerge w:val="restart"/>
            <w:hideMark/>
          </w:tcPr>
          <w:p w14:paraId="093A446E" w14:textId="77777777" w:rsidR="00B313E8" w:rsidRPr="0087487B" w:rsidRDefault="00B313E8" w:rsidP="00314B37">
            <w:pPr>
              <w:pStyle w:val="NormalWeb"/>
              <w:jc w:val="left"/>
              <w:rPr>
                <w:sz w:val="18"/>
                <w:szCs w:val="18"/>
              </w:rPr>
            </w:pPr>
            <w:r w:rsidRPr="0087487B">
              <w:rPr>
                <w:sz w:val="18"/>
                <w:szCs w:val="18"/>
              </w:rPr>
              <w:t xml:space="preserve">Routine </w:t>
            </w:r>
            <w:proofErr w:type="gramStart"/>
            <w:r w:rsidRPr="0087487B">
              <w:rPr>
                <w:sz w:val="18"/>
                <w:szCs w:val="18"/>
              </w:rPr>
              <w:t>monitoring</w:t>
            </w:r>
            <w:proofErr w:type="gramEnd"/>
            <w:r w:rsidRPr="0087487B">
              <w:rPr>
                <w:sz w:val="18"/>
                <w:szCs w:val="18"/>
              </w:rPr>
              <w:t xml:space="preserve"> recommended</w:t>
            </w:r>
          </w:p>
        </w:tc>
      </w:tr>
      <w:tr w:rsidR="00B313E8" w:rsidRPr="0087487B" w14:paraId="77B9FD1E" w14:textId="77777777" w:rsidTr="00B313E8">
        <w:trPr>
          <w:cnfStyle w:val="100000000000" w:firstRow="1" w:lastRow="0" w:firstColumn="0" w:lastColumn="0" w:oddVBand="0" w:evenVBand="0" w:oddHBand="0" w:evenHBand="0" w:firstRowFirstColumn="0" w:firstRowLastColumn="0" w:lastRowFirstColumn="0" w:lastRowLastColumn="0"/>
          <w:divId w:val="448665177"/>
          <w:tblHeader/>
        </w:trPr>
        <w:tc>
          <w:tcPr>
            <w:tcW w:w="0" w:type="auto"/>
            <w:vMerge/>
            <w:hideMark/>
          </w:tcPr>
          <w:p w14:paraId="4BD56CA1" w14:textId="77777777" w:rsidR="00B313E8" w:rsidRPr="0087487B" w:rsidRDefault="00B313E8" w:rsidP="00314B37">
            <w:pPr>
              <w:rPr>
                <w:sz w:val="18"/>
                <w:szCs w:val="18"/>
              </w:rPr>
            </w:pPr>
          </w:p>
        </w:tc>
        <w:tc>
          <w:tcPr>
            <w:tcW w:w="0" w:type="auto"/>
            <w:hideMark/>
          </w:tcPr>
          <w:p w14:paraId="55B548C2" w14:textId="77777777" w:rsidR="00B313E8" w:rsidRPr="0087487B" w:rsidRDefault="00B313E8" w:rsidP="00314B37">
            <w:pPr>
              <w:pStyle w:val="NormalWeb"/>
              <w:jc w:val="left"/>
              <w:rPr>
                <w:sz w:val="18"/>
                <w:szCs w:val="18"/>
              </w:rPr>
            </w:pPr>
            <w:r w:rsidRPr="0087487B">
              <w:rPr>
                <w:sz w:val="18"/>
                <w:szCs w:val="18"/>
              </w:rPr>
              <w:t>Commoner</w:t>
            </w:r>
          </w:p>
        </w:tc>
        <w:tc>
          <w:tcPr>
            <w:tcW w:w="0" w:type="auto"/>
            <w:hideMark/>
          </w:tcPr>
          <w:p w14:paraId="26B52660" w14:textId="77777777" w:rsidR="00B313E8" w:rsidRPr="0087487B" w:rsidRDefault="00B313E8" w:rsidP="00314B37">
            <w:pPr>
              <w:pStyle w:val="NormalWeb"/>
              <w:jc w:val="left"/>
              <w:rPr>
                <w:sz w:val="18"/>
                <w:szCs w:val="18"/>
              </w:rPr>
            </w:pPr>
            <w:r w:rsidRPr="0087487B">
              <w:rPr>
                <w:sz w:val="18"/>
                <w:szCs w:val="18"/>
              </w:rPr>
              <w:t>Less frequent</w:t>
            </w:r>
          </w:p>
        </w:tc>
        <w:tc>
          <w:tcPr>
            <w:tcW w:w="0" w:type="auto"/>
            <w:vMerge/>
            <w:hideMark/>
          </w:tcPr>
          <w:p w14:paraId="0E8DF9EF" w14:textId="77777777" w:rsidR="00B313E8" w:rsidRPr="0087487B" w:rsidRDefault="00B313E8" w:rsidP="00314B37">
            <w:pPr>
              <w:jc w:val="left"/>
              <w:rPr>
                <w:sz w:val="18"/>
                <w:szCs w:val="18"/>
              </w:rPr>
            </w:pPr>
          </w:p>
        </w:tc>
      </w:tr>
      <w:tr w:rsidR="00B313E8" w:rsidRPr="0087487B" w14:paraId="369DF1B9" w14:textId="77777777" w:rsidTr="00B313E8">
        <w:trPr>
          <w:divId w:val="448665177"/>
        </w:trPr>
        <w:tc>
          <w:tcPr>
            <w:tcW w:w="0" w:type="auto"/>
            <w:hideMark/>
          </w:tcPr>
          <w:p w14:paraId="35306A0D" w14:textId="77777777" w:rsidR="00B313E8" w:rsidRPr="0087487B" w:rsidRDefault="00B313E8" w:rsidP="00314B37">
            <w:pPr>
              <w:pStyle w:val="NormalWeb"/>
              <w:rPr>
                <w:sz w:val="18"/>
                <w:szCs w:val="18"/>
              </w:rPr>
            </w:pPr>
            <w:r w:rsidRPr="0087487B">
              <w:rPr>
                <w:sz w:val="18"/>
                <w:szCs w:val="18"/>
              </w:rPr>
              <w:t>Levofloxacin (</w:t>
            </w:r>
            <w:proofErr w:type="spellStart"/>
            <w:r w:rsidRPr="0087487B">
              <w:rPr>
                <w:sz w:val="18"/>
                <w:szCs w:val="18"/>
              </w:rPr>
              <w:t>Lfx</w:t>
            </w:r>
            <w:proofErr w:type="spellEnd"/>
            <w:r w:rsidRPr="0087487B">
              <w:rPr>
                <w:sz w:val="18"/>
                <w:szCs w:val="18"/>
              </w:rPr>
              <w:t>)</w:t>
            </w:r>
          </w:p>
        </w:tc>
        <w:tc>
          <w:tcPr>
            <w:tcW w:w="0" w:type="auto"/>
            <w:hideMark/>
          </w:tcPr>
          <w:p w14:paraId="1D613BD5" w14:textId="77777777" w:rsidR="00B313E8" w:rsidRPr="0087487B" w:rsidRDefault="00B313E8" w:rsidP="00314B37">
            <w:pPr>
              <w:pStyle w:val="NormalWeb"/>
              <w:jc w:val="left"/>
              <w:rPr>
                <w:sz w:val="18"/>
                <w:szCs w:val="18"/>
              </w:rPr>
            </w:pPr>
            <w:r w:rsidRPr="0087487B">
              <w:rPr>
                <w:sz w:val="18"/>
                <w:szCs w:val="18"/>
              </w:rPr>
              <w:t>Gastro-intestinal disturbance</w:t>
            </w:r>
            <w:r w:rsidRPr="0087487B">
              <w:rPr>
                <w:sz w:val="18"/>
                <w:szCs w:val="18"/>
              </w:rPr>
              <w:br/>
              <w:t>Musculoskeletal</w:t>
            </w:r>
            <w:r w:rsidRPr="0087487B">
              <w:rPr>
                <w:sz w:val="18"/>
                <w:szCs w:val="18"/>
              </w:rPr>
              <w:br/>
              <w:t xml:space="preserve">QTc prolongation (considered less common than </w:t>
            </w:r>
            <w:proofErr w:type="spellStart"/>
            <w:r w:rsidRPr="0087487B">
              <w:rPr>
                <w:sz w:val="18"/>
                <w:szCs w:val="18"/>
              </w:rPr>
              <w:t>Mfx</w:t>
            </w:r>
            <w:proofErr w:type="spellEnd"/>
            <w:r w:rsidRPr="0087487B">
              <w:rPr>
                <w:sz w:val="18"/>
                <w:szCs w:val="18"/>
              </w:rPr>
              <w:t>)</w:t>
            </w:r>
            <w:r w:rsidRPr="0087487B">
              <w:rPr>
                <w:sz w:val="18"/>
                <w:szCs w:val="18"/>
              </w:rPr>
              <w:br/>
              <w:t>Hepatic toxicity</w:t>
            </w:r>
          </w:p>
        </w:tc>
        <w:tc>
          <w:tcPr>
            <w:tcW w:w="0" w:type="auto"/>
            <w:hideMark/>
          </w:tcPr>
          <w:p w14:paraId="36411C51" w14:textId="77777777" w:rsidR="00B313E8" w:rsidRPr="0087487B" w:rsidRDefault="00B313E8" w:rsidP="00314B37">
            <w:pPr>
              <w:pStyle w:val="NormalWeb"/>
              <w:jc w:val="left"/>
              <w:rPr>
                <w:sz w:val="18"/>
                <w:szCs w:val="18"/>
              </w:rPr>
            </w:pPr>
            <w:r w:rsidRPr="0087487B">
              <w:rPr>
                <w:sz w:val="18"/>
                <w:szCs w:val="18"/>
              </w:rPr>
              <w:t>Hypoglycaemia</w:t>
            </w:r>
            <w:r w:rsidRPr="0087487B">
              <w:rPr>
                <w:sz w:val="18"/>
                <w:szCs w:val="18"/>
              </w:rPr>
              <w:br/>
              <w:t>Peripheral neuropathy</w:t>
            </w:r>
            <w:r w:rsidRPr="0087487B">
              <w:rPr>
                <w:sz w:val="18"/>
                <w:szCs w:val="18"/>
              </w:rPr>
              <w:br/>
              <w:t>Mood disturbances/anxiety</w:t>
            </w:r>
          </w:p>
        </w:tc>
        <w:tc>
          <w:tcPr>
            <w:tcW w:w="0" w:type="auto"/>
            <w:hideMark/>
          </w:tcPr>
          <w:p w14:paraId="7AE82344" w14:textId="77777777" w:rsidR="00B313E8" w:rsidRPr="0087487B" w:rsidRDefault="00B313E8" w:rsidP="00314B37">
            <w:pPr>
              <w:pStyle w:val="NormalWeb"/>
              <w:jc w:val="left"/>
              <w:rPr>
                <w:sz w:val="18"/>
                <w:szCs w:val="18"/>
              </w:rPr>
            </w:pPr>
            <w:r w:rsidRPr="0087487B">
              <w:rPr>
                <w:sz w:val="18"/>
                <w:szCs w:val="18"/>
              </w:rPr>
              <w:t xml:space="preserve">ECG: baseline, </w:t>
            </w:r>
            <w:proofErr w:type="gramStart"/>
            <w:r w:rsidRPr="0087487B">
              <w:rPr>
                <w:sz w:val="18"/>
                <w:szCs w:val="18"/>
              </w:rPr>
              <w:t>2</w:t>
            </w:r>
            <w:proofErr w:type="gramEnd"/>
            <w:r w:rsidRPr="0087487B">
              <w:rPr>
                <w:sz w:val="18"/>
                <w:szCs w:val="18"/>
              </w:rPr>
              <w:t xml:space="preserve"> weekly first month and then monthly</w:t>
            </w:r>
            <w:r w:rsidRPr="0087487B">
              <w:rPr>
                <w:sz w:val="18"/>
                <w:szCs w:val="18"/>
              </w:rPr>
              <w:br/>
              <w:t>Electrolytes: at least monthly (K, Ca, Mg)</w:t>
            </w:r>
            <w:r w:rsidRPr="0087487B">
              <w:rPr>
                <w:sz w:val="18"/>
                <w:szCs w:val="18"/>
              </w:rPr>
              <w:br/>
              <w:t>Liver function: at 2 weeks then at least monthly</w:t>
            </w:r>
          </w:p>
        </w:tc>
      </w:tr>
      <w:tr w:rsidR="00B313E8" w:rsidRPr="0087487B" w14:paraId="051FF246" w14:textId="77777777" w:rsidTr="00B313E8">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644F1029" w14:textId="77777777" w:rsidR="00B313E8" w:rsidRPr="0087487B" w:rsidRDefault="00B313E8" w:rsidP="00314B37">
            <w:pPr>
              <w:pStyle w:val="NormalWeb"/>
              <w:rPr>
                <w:sz w:val="18"/>
                <w:szCs w:val="18"/>
              </w:rPr>
            </w:pPr>
            <w:r w:rsidRPr="0087487B">
              <w:rPr>
                <w:sz w:val="18"/>
                <w:szCs w:val="18"/>
              </w:rPr>
              <w:t>Moxifloxacin (</w:t>
            </w:r>
            <w:proofErr w:type="spellStart"/>
            <w:r w:rsidRPr="0087487B">
              <w:rPr>
                <w:sz w:val="18"/>
                <w:szCs w:val="18"/>
              </w:rPr>
              <w:t>Mfx</w:t>
            </w:r>
            <w:proofErr w:type="spellEnd"/>
            <w:r w:rsidRPr="0087487B">
              <w:rPr>
                <w:sz w:val="18"/>
                <w:szCs w:val="18"/>
              </w:rPr>
              <w:t>)</w:t>
            </w:r>
          </w:p>
        </w:tc>
        <w:tc>
          <w:tcPr>
            <w:tcW w:w="0" w:type="auto"/>
            <w:hideMark/>
          </w:tcPr>
          <w:p w14:paraId="482BD973" w14:textId="77777777" w:rsidR="00B313E8" w:rsidRPr="0087487B" w:rsidRDefault="00B313E8" w:rsidP="00314B37">
            <w:pPr>
              <w:pStyle w:val="NormalWeb"/>
              <w:jc w:val="left"/>
              <w:rPr>
                <w:sz w:val="18"/>
                <w:szCs w:val="18"/>
              </w:rPr>
            </w:pPr>
            <w:r w:rsidRPr="0087487B">
              <w:rPr>
                <w:sz w:val="18"/>
                <w:szCs w:val="18"/>
              </w:rPr>
              <w:t>Gastro-intestinal disturbance</w:t>
            </w:r>
            <w:r w:rsidRPr="0087487B">
              <w:rPr>
                <w:sz w:val="18"/>
                <w:szCs w:val="18"/>
              </w:rPr>
              <w:br/>
              <w:t>Musculoskeletal</w:t>
            </w:r>
            <w:r w:rsidRPr="0087487B">
              <w:rPr>
                <w:sz w:val="18"/>
                <w:szCs w:val="18"/>
              </w:rPr>
              <w:br/>
              <w:t>QTc prolongation (estimated increase 10–20 msec)</w:t>
            </w:r>
            <w:r w:rsidRPr="0087487B">
              <w:rPr>
                <w:sz w:val="18"/>
                <w:szCs w:val="18"/>
              </w:rPr>
              <w:br/>
              <w:t>Hepatic toxicity</w:t>
            </w:r>
          </w:p>
        </w:tc>
        <w:tc>
          <w:tcPr>
            <w:tcW w:w="0" w:type="auto"/>
            <w:hideMark/>
          </w:tcPr>
          <w:p w14:paraId="5541E179" w14:textId="77777777" w:rsidR="00B313E8" w:rsidRPr="0087487B" w:rsidRDefault="00B313E8" w:rsidP="00314B37">
            <w:pPr>
              <w:pStyle w:val="NormalWeb"/>
              <w:jc w:val="left"/>
              <w:rPr>
                <w:sz w:val="18"/>
                <w:szCs w:val="18"/>
              </w:rPr>
            </w:pPr>
            <w:r w:rsidRPr="0087487B">
              <w:rPr>
                <w:sz w:val="18"/>
                <w:szCs w:val="18"/>
              </w:rPr>
              <w:t>Hypoglycaemia</w:t>
            </w:r>
            <w:r w:rsidRPr="0087487B">
              <w:rPr>
                <w:sz w:val="18"/>
                <w:szCs w:val="18"/>
              </w:rPr>
              <w:br/>
              <w:t>Peripheral neuropathy</w:t>
            </w:r>
            <w:r w:rsidRPr="0087487B">
              <w:rPr>
                <w:sz w:val="18"/>
                <w:szCs w:val="18"/>
              </w:rPr>
              <w:br/>
              <w:t>Mood disturbances/anxiety</w:t>
            </w:r>
          </w:p>
        </w:tc>
        <w:tc>
          <w:tcPr>
            <w:tcW w:w="0" w:type="auto"/>
            <w:hideMark/>
          </w:tcPr>
          <w:p w14:paraId="5B73D0D9" w14:textId="77777777" w:rsidR="00B313E8" w:rsidRPr="0087487B" w:rsidRDefault="00B313E8" w:rsidP="00314B37">
            <w:pPr>
              <w:pStyle w:val="NormalWeb"/>
              <w:jc w:val="left"/>
              <w:rPr>
                <w:sz w:val="18"/>
                <w:szCs w:val="18"/>
              </w:rPr>
            </w:pPr>
            <w:r w:rsidRPr="0087487B">
              <w:rPr>
                <w:sz w:val="18"/>
                <w:szCs w:val="18"/>
              </w:rPr>
              <w:t xml:space="preserve">ECG: baseline, </w:t>
            </w:r>
            <w:proofErr w:type="gramStart"/>
            <w:r w:rsidRPr="0087487B">
              <w:rPr>
                <w:sz w:val="18"/>
                <w:szCs w:val="18"/>
              </w:rPr>
              <w:t>2</w:t>
            </w:r>
            <w:proofErr w:type="gramEnd"/>
            <w:r w:rsidRPr="0087487B">
              <w:rPr>
                <w:sz w:val="18"/>
                <w:szCs w:val="18"/>
              </w:rPr>
              <w:t xml:space="preserve"> weekly first month and then monthly</w:t>
            </w:r>
            <w:r w:rsidRPr="0087487B">
              <w:rPr>
                <w:sz w:val="18"/>
                <w:szCs w:val="18"/>
              </w:rPr>
              <w:br/>
              <w:t>Electrolytes: at least monthly (K, Ca, Mg)</w:t>
            </w:r>
            <w:r w:rsidRPr="0087487B">
              <w:rPr>
                <w:sz w:val="18"/>
                <w:szCs w:val="18"/>
              </w:rPr>
              <w:br/>
              <w:t>Liver function: at 2 weeks then at least monthly</w:t>
            </w:r>
          </w:p>
        </w:tc>
      </w:tr>
      <w:tr w:rsidR="00B313E8" w:rsidRPr="0087487B" w14:paraId="0746C5C0" w14:textId="77777777" w:rsidTr="00B313E8">
        <w:trPr>
          <w:divId w:val="448665177"/>
        </w:trPr>
        <w:tc>
          <w:tcPr>
            <w:tcW w:w="0" w:type="auto"/>
            <w:hideMark/>
          </w:tcPr>
          <w:p w14:paraId="359E07F3" w14:textId="77777777" w:rsidR="00B313E8" w:rsidRPr="0087487B" w:rsidRDefault="00B313E8" w:rsidP="00314B37">
            <w:pPr>
              <w:pStyle w:val="NormalWeb"/>
              <w:rPr>
                <w:sz w:val="18"/>
                <w:szCs w:val="18"/>
              </w:rPr>
            </w:pPr>
            <w:proofErr w:type="spellStart"/>
            <w:r w:rsidRPr="0087487B">
              <w:rPr>
                <w:sz w:val="18"/>
                <w:szCs w:val="18"/>
              </w:rPr>
              <w:t>Bedaquiline</w:t>
            </w:r>
            <w:proofErr w:type="spellEnd"/>
            <w:r w:rsidRPr="0087487B">
              <w:rPr>
                <w:sz w:val="18"/>
                <w:szCs w:val="18"/>
              </w:rPr>
              <w:t xml:space="preserve"> (</w:t>
            </w:r>
            <w:proofErr w:type="spellStart"/>
            <w:r w:rsidRPr="0087487B">
              <w:rPr>
                <w:sz w:val="18"/>
                <w:szCs w:val="18"/>
              </w:rPr>
              <w:t>Bdq</w:t>
            </w:r>
            <w:proofErr w:type="spellEnd"/>
            <w:r w:rsidRPr="0087487B">
              <w:rPr>
                <w:sz w:val="18"/>
                <w:szCs w:val="18"/>
              </w:rPr>
              <w:t>)</w:t>
            </w:r>
          </w:p>
        </w:tc>
        <w:tc>
          <w:tcPr>
            <w:tcW w:w="0" w:type="auto"/>
            <w:hideMark/>
          </w:tcPr>
          <w:p w14:paraId="0AA3C8AD" w14:textId="77777777" w:rsidR="00B313E8" w:rsidRPr="0087487B" w:rsidRDefault="00B313E8" w:rsidP="00314B37">
            <w:pPr>
              <w:pStyle w:val="NormalWeb"/>
              <w:jc w:val="left"/>
              <w:rPr>
                <w:sz w:val="18"/>
                <w:szCs w:val="18"/>
              </w:rPr>
            </w:pPr>
            <w:r w:rsidRPr="0087487B">
              <w:rPr>
                <w:sz w:val="18"/>
                <w:szCs w:val="18"/>
              </w:rPr>
              <w:t>Nausea, headache</w:t>
            </w:r>
            <w:r w:rsidRPr="0087487B">
              <w:rPr>
                <w:sz w:val="18"/>
                <w:szCs w:val="18"/>
              </w:rPr>
              <w:br/>
              <w:t>Arthralgia</w:t>
            </w:r>
            <w:r w:rsidRPr="0087487B">
              <w:rPr>
                <w:sz w:val="18"/>
                <w:szCs w:val="18"/>
              </w:rPr>
              <w:br/>
              <w:t>QTc prolongation (10–15 msec increase, maximal week 15)</w:t>
            </w:r>
          </w:p>
        </w:tc>
        <w:tc>
          <w:tcPr>
            <w:tcW w:w="0" w:type="auto"/>
            <w:hideMark/>
          </w:tcPr>
          <w:p w14:paraId="48564EB1" w14:textId="77777777" w:rsidR="00B313E8" w:rsidRPr="0087487B" w:rsidRDefault="00B313E8" w:rsidP="00314B37">
            <w:pPr>
              <w:pStyle w:val="NormalWeb"/>
              <w:jc w:val="left"/>
              <w:rPr>
                <w:sz w:val="18"/>
                <w:szCs w:val="18"/>
              </w:rPr>
            </w:pPr>
            <w:r w:rsidRPr="0087487B">
              <w:rPr>
                <w:sz w:val="18"/>
                <w:szCs w:val="18"/>
              </w:rPr>
              <w:t>Hepatic toxicity</w:t>
            </w:r>
          </w:p>
        </w:tc>
        <w:tc>
          <w:tcPr>
            <w:tcW w:w="0" w:type="auto"/>
            <w:hideMark/>
          </w:tcPr>
          <w:p w14:paraId="3215BED5" w14:textId="77777777" w:rsidR="00B313E8" w:rsidRPr="0087487B" w:rsidRDefault="00B313E8" w:rsidP="00314B37">
            <w:pPr>
              <w:pStyle w:val="NormalWeb"/>
              <w:jc w:val="left"/>
              <w:rPr>
                <w:sz w:val="18"/>
                <w:szCs w:val="18"/>
              </w:rPr>
            </w:pPr>
            <w:r w:rsidRPr="0087487B">
              <w:rPr>
                <w:sz w:val="18"/>
                <w:szCs w:val="18"/>
              </w:rPr>
              <w:t xml:space="preserve">ECG: baseline, </w:t>
            </w:r>
            <w:proofErr w:type="gramStart"/>
            <w:r w:rsidRPr="0087487B">
              <w:rPr>
                <w:sz w:val="18"/>
                <w:szCs w:val="18"/>
              </w:rPr>
              <w:t>2</w:t>
            </w:r>
            <w:proofErr w:type="gramEnd"/>
            <w:r w:rsidRPr="0087487B">
              <w:rPr>
                <w:sz w:val="18"/>
                <w:szCs w:val="18"/>
              </w:rPr>
              <w:t xml:space="preserve"> weekly first month and then monthly</w:t>
            </w:r>
            <w:r w:rsidRPr="0087487B">
              <w:rPr>
                <w:sz w:val="18"/>
                <w:szCs w:val="18"/>
              </w:rPr>
              <w:br/>
              <w:t>Electrolytes: at least monthly (K, Ca, Mg)</w:t>
            </w:r>
            <w:r w:rsidRPr="0087487B">
              <w:rPr>
                <w:sz w:val="18"/>
                <w:szCs w:val="18"/>
              </w:rPr>
              <w:br/>
              <w:t>Liver function: at 2 weeks then at least monthly</w:t>
            </w:r>
          </w:p>
        </w:tc>
      </w:tr>
      <w:tr w:rsidR="00B313E8" w:rsidRPr="0087487B" w14:paraId="4A0A23D4" w14:textId="77777777" w:rsidTr="00B313E8">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411D1E75" w14:textId="77777777" w:rsidR="00B313E8" w:rsidRPr="0087487B" w:rsidRDefault="00B313E8" w:rsidP="00314B37">
            <w:pPr>
              <w:pStyle w:val="NormalWeb"/>
              <w:rPr>
                <w:sz w:val="18"/>
                <w:szCs w:val="18"/>
              </w:rPr>
            </w:pPr>
            <w:r w:rsidRPr="0087487B">
              <w:rPr>
                <w:sz w:val="18"/>
                <w:szCs w:val="18"/>
              </w:rPr>
              <w:t>Linezolid (</w:t>
            </w:r>
            <w:proofErr w:type="spellStart"/>
            <w:r w:rsidRPr="0087487B">
              <w:rPr>
                <w:sz w:val="18"/>
                <w:szCs w:val="18"/>
              </w:rPr>
              <w:t>Lzd</w:t>
            </w:r>
            <w:proofErr w:type="spellEnd"/>
            <w:r w:rsidRPr="0087487B">
              <w:rPr>
                <w:sz w:val="18"/>
                <w:szCs w:val="18"/>
              </w:rPr>
              <w:t>)</w:t>
            </w:r>
          </w:p>
        </w:tc>
        <w:tc>
          <w:tcPr>
            <w:tcW w:w="0" w:type="auto"/>
            <w:hideMark/>
          </w:tcPr>
          <w:p w14:paraId="152641D4" w14:textId="77777777" w:rsidR="00B313E8" w:rsidRPr="0087487B" w:rsidRDefault="00B313E8" w:rsidP="00314B37">
            <w:pPr>
              <w:pStyle w:val="NormalWeb"/>
              <w:jc w:val="left"/>
              <w:rPr>
                <w:sz w:val="18"/>
                <w:szCs w:val="18"/>
              </w:rPr>
            </w:pPr>
            <w:r w:rsidRPr="0087487B">
              <w:rPr>
                <w:sz w:val="18"/>
                <w:szCs w:val="18"/>
              </w:rPr>
              <w:t>Gastro-intestinal disturbance</w:t>
            </w:r>
            <w:r w:rsidRPr="0087487B">
              <w:rPr>
                <w:sz w:val="18"/>
                <w:szCs w:val="18"/>
              </w:rPr>
              <w:br/>
              <w:t>Rash</w:t>
            </w:r>
            <w:r w:rsidRPr="0087487B">
              <w:rPr>
                <w:sz w:val="18"/>
                <w:szCs w:val="18"/>
              </w:rPr>
              <w:br/>
              <w:t>Myelosuppression</w:t>
            </w:r>
            <w:r w:rsidRPr="0087487B">
              <w:rPr>
                <w:sz w:val="18"/>
                <w:szCs w:val="18"/>
              </w:rPr>
              <w:br/>
              <w:t>Peripheral and optic neuropathy</w:t>
            </w:r>
          </w:p>
        </w:tc>
        <w:tc>
          <w:tcPr>
            <w:tcW w:w="0" w:type="auto"/>
            <w:hideMark/>
          </w:tcPr>
          <w:p w14:paraId="77B814E4" w14:textId="77777777" w:rsidR="00B313E8" w:rsidRPr="0087487B" w:rsidRDefault="00B313E8" w:rsidP="00314B37">
            <w:pPr>
              <w:pStyle w:val="NormalWeb"/>
              <w:jc w:val="left"/>
              <w:rPr>
                <w:sz w:val="18"/>
                <w:szCs w:val="18"/>
              </w:rPr>
            </w:pPr>
            <w:r w:rsidRPr="0087487B">
              <w:rPr>
                <w:sz w:val="18"/>
                <w:szCs w:val="18"/>
              </w:rPr>
              <w:t>Lactic acidosis</w:t>
            </w:r>
            <w:r w:rsidRPr="0087487B">
              <w:rPr>
                <w:sz w:val="18"/>
                <w:szCs w:val="18"/>
              </w:rPr>
              <w:br/>
              <w:t>Serotonin syndrome</w:t>
            </w:r>
          </w:p>
        </w:tc>
        <w:tc>
          <w:tcPr>
            <w:tcW w:w="0" w:type="auto"/>
            <w:hideMark/>
          </w:tcPr>
          <w:p w14:paraId="6C06557A" w14:textId="77777777" w:rsidR="00B313E8" w:rsidRPr="0087487B" w:rsidRDefault="00B313E8" w:rsidP="00314B37">
            <w:pPr>
              <w:pStyle w:val="NormalWeb"/>
              <w:jc w:val="left"/>
              <w:rPr>
                <w:sz w:val="18"/>
                <w:szCs w:val="18"/>
              </w:rPr>
            </w:pPr>
            <w:r w:rsidRPr="0087487B">
              <w:rPr>
                <w:sz w:val="18"/>
                <w:szCs w:val="18"/>
              </w:rPr>
              <w:t xml:space="preserve">Monitor haemoglobin, platelets, white cell count weekly month </w:t>
            </w:r>
            <w:proofErr w:type="gramStart"/>
            <w:r w:rsidRPr="0087487B">
              <w:rPr>
                <w:sz w:val="18"/>
                <w:szCs w:val="18"/>
              </w:rPr>
              <w:t>1</w:t>
            </w:r>
            <w:proofErr w:type="gramEnd"/>
            <w:r w:rsidRPr="0087487B">
              <w:rPr>
                <w:sz w:val="18"/>
                <w:szCs w:val="18"/>
              </w:rPr>
              <w:t xml:space="preserve"> and then at least monthly</w:t>
            </w:r>
            <w:r w:rsidRPr="0087487B">
              <w:rPr>
                <w:sz w:val="18"/>
                <w:szCs w:val="18"/>
              </w:rPr>
              <w:br/>
              <w:t>Regular peripheral neuropathy screens</w:t>
            </w:r>
            <w:r w:rsidRPr="0087487B">
              <w:rPr>
                <w:sz w:val="18"/>
                <w:szCs w:val="18"/>
              </w:rPr>
              <w:br/>
              <w:t>Visual acuities and colour vision screens: at least monthly</w:t>
            </w:r>
            <w:r w:rsidRPr="0087487B">
              <w:rPr>
                <w:sz w:val="18"/>
                <w:szCs w:val="18"/>
              </w:rPr>
              <w:br/>
              <w:t>TDM: according to local protocol</w:t>
            </w:r>
            <w:r w:rsidRPr="0087487B">
              <w:rPr>
                <w:sz w:val="18"/>
                <w:szCs w:val="18"/>
              </w:rPr>
              <w:br/>
              <w:t>pH, anion gap and lactate levels in the event of suspected lactic acidosis</w:t>
            </w:r>
          </w:p>
        </w:tc>
      </w:tr>
      <w:tr w:rsidR="00B313E8" w:rsidRPr="0087487B" w14:paraId="2A0E40D6" w14:textId="77777777" w:rsidTr="00B313E8">
        <w:trPr>
          <w:divId w:val="448665177"/>
        </w:trPr>
        <w:tc>
          <w:tcPr>
            <w:tcW w:w="0" w:type="auto"/>
            <w:hideMark/>
          </w:tcPr>
          <w:p w14:paraId="020D5542" w14:textId="77777777" w:rsidR="00B313E8" w:rsidRPr="0087487B" w:rsidRDefault="00B313E8" w:rsidP="00314B37">
            <w:pPr>
              <w:pStyle w:val="NormalWeb"/>
              <w:rPr>
                <w:sz w:val="18"/>
                <w:szCs w:val="18"/>
              </w:rPr>
            </w:pPr>
            <w:proofErr w:type="spellStart"/>
            <w:r w:rsidRPr="0087487B">
              <w:rPr>
                <w:sz w:val="18"/>
                <w:szCs w:val="18"/>
              </w:rPr>
              <w:t>Pretomanid</w:t>
            </w:r>
            <w:proofErr w:type="spellEnd"/>
            <w:r w:rsidRPr="0087487B">
              <w:rPr>
                <w:sz w:val="18"/>
                <w:szCs w:val="18"/>
              </w:rPr>
              <w:t xml:space="preserve"> (Pa)</w:t>
            </w:r>
          </w:p>
        </w:tc>
        <w:tc>
          <w:tcPr>
            <w:tcW w:w="0" w:type="auto"/>
            <w:hideMark/>
          </w:tcPr>
          <w:p w14:paraId="548C8544" w14:textId="77777777" w:rsidR="00B313E8" w:rsidRPr="0087487B" w:rsidRDefault="00B313E8" w:rsidP="00314B37">
            <w:pPr>
              <w:pStyle w:val="NormalWeb"/>
              <w:jc w:val="left"/>
              <w:rPr>
                <w:sz w:val="18"/>
                <w:szCs w:val="18"/>
              </w:rPr>
            </w:pPr>
            <w:r w:rsidRPr="0087487B">
              <w:rPr>
                <w:sz w:val="18"/>
                <w:szCs w:val="18"/>
              </w:rPr>
              <w:t>Headaches, nausea, contact dermatitis, diarrhoea, dizziness</w:t>
            </w:r>
            <w:r w:rsidRPr="0087487B">
              <w:rPr>
                <w:sz w:val="18"/>
                <w:szCs w:val="18"/>
              </w:rPr>
              <w:br/>
              <w:t>Anaemia</w:t>
            </w:r>
            <w:r w:rsidRPr="0087487B">
              <w:rPr>
                <w:sz w:val="18"/>
                <w:szCs w:val="18"/>
              </w:rPr>
              <w:br/>
              <w:t>QTc prolongation: average 5 msec increase, not found to have clinical impact.</w:t>
            </w:r>
          </w:p>
        </w:tc>
        <w:tc>
          <w:tcPr>
            <w:tcW w:w="0" w:type="auto"/>
            <w:hideMark/>
          </w:tcPr>
          <w:p w14:paraId="2DE155B4" w14:textId="77777777" w:rsidR="00B313E8" w:rsidRPr="0087487B" w:rsidRDefault="00B313E8" w:rsidP="00314B37">
            <w:pPr>
              <w:pStyle w:val="NormalWeb"/>
              <w:jc w:val="left"/>
              <w:rPr>
                <w:sz w:val="18"/>
                <w:szCs w:val="18"/>
              </w:rPr>
            </w:pPr>
            <w:r w:rsidRPr="0087487B">
              <w:rPr>
                <w:sz w:val="18"/>
                <w:szCs w:val="18"/>
              </w:rPr>
              <w:t>Hepatic impairment</w:t>
            </w:r>
            <w:r w:rsidRPr="0087487B">
              <w:rPr>
                <w:sz w:val="18"/>
                <w:szCs w:val="18"/>
              </w:rPr>
              <w:br/>
              <w:t>Convulsions</w:t>
            </w:r>
            <w:r w:rsidRPr="0087487B">
              <w:rPr>
                <w:sz w:val="18"/>
                <w:szCs w:val="18"/>
              </w:rPr>
              <w:br/>
              <w:t>Animal studies attributed male reproductive toxicity to Pa. Current evidence does not suggest a risk to male fertility</w:t>
            </w:r>
          </w:p>
        </w:tc>
        <w:tc>
          <w:tcPr>
            <w:tcW w:w="0" w:type="auto"/>
            <w:hideMark/>
          </w:tcPr>
          <w:p w14:paraId="38A19642" w14:textId="77777777" w:rsidR="00B313E8" w:rsidRPr="0087487B" w:rsidRDefault="00B313E8" w:rsidP="00314B37">
            <w:pPr>
              <w:pStyle w:val="NormalWeb"/>
              <w:jc w:val="left"/>
              <w:rPr>
                <w:sz w:val="18"/>
                <w:szCs w:val="18"/>
              </w:rPr>
            </w:pPr>
            <w:r w:rsidRPr="0087487B">
              <w:rPr>
                <w:sz w:val="18"/>
                <w:szCs w:val="18"/>
              </w:rPr>
              <w:t xml:space="preserve">ECG: baseline, </w:t>
            </w:r>
            <w:proofErr w:type="gramStart"/>
            <w:r w:rsidRPr="0087487B">
              <w:rPr>
                <w:sz w:val="18"/>
                <w:szCs w:val="18"/>
              </w:rPr>
              <w:t>2</w:t>
            </w:r>
            <w:proofErr w:type="gramEnd"/>
            <w:r w:rsidRPr="0087487B">
              <w:rPr>
                <w:sz w:val="18"/>
                <w:szCs w:val="18"/>
              </w:rPr>
              <w:t xml:space="preserve"> weekly first month and then monthly</w:t>
            </w:r>
            <w:r w:rsidRPr="0087487B">
              <w:rPr>
                <w:sz w:val="18"/>
                <w:szCs w:val="18"/>
              </w:rPr>
              <w:br/>
              <w:t>Electrolytes: at least monthly (K, Ca, Mg)</w:t>
            </w:r>
            <w:r w:rsidRPr="0087487B">
              <w:rPr>
                <w:sz w:val="18"/>
                <w:szCs w:val="18"/>
              </w:rPr>
              <w:br/>
              <w:t>Liver function: at 2 weeks then at least monthly</w:t>
            </w:r>
          </w:p>
        </w:tc>
      </w:tr>
      <w:tr w:rsidR="00B313E8" w:rsidRPr="0087487B" w14:paraId="6C4B3418" w14:textId="77777777" w:rsidTr="00B313E8">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7FDA29EE" w14:textId="77777777" w:rsidR="00B313E8" w:rsidRPr="0087487B" w:rsidRDefault="00B313E8" w:rsidP="00314B37">
            <w:pPr>
              <w:pStyle w:val="NormalWeb"/>
              <w:rPr>
                <w:sz w:val="18"/>
                <w:szCs w:val="18"/>
              </w:rPr>
            </w:pPr>
            <w:r w:rsidRPr="0087487B">
              <w:rPr>
                <w:sz w:val="18"/>
                <w:szCs w:val="18"/>
              </w:rPr>
              <w:t>Clofazimine (</w:t>
            </w:r>
            <w:proofErr w:type="spellStart"/>
            <w:r w:rsidRPr="0087487B">
              <w:rPr>
                <w:sz w:val="18"/>
                <w:szCs w:val="18"/>
              </w:rPr>
              <w:t>Cfz</w:t>
            </w:r>
            <w:proofErr w:type="spellEnd"/>
            <w:r w:rsidRPr="0087487B">
              <w:rPr>
                <w:sz w:val="18"/>
                <w:szCs w:val="18"/>
              </w:rPr>
              <w:t>)</w:t>
            </w:r>
          </w:p>
        </w:tc>
        <w:tc>
          <w:tcPr>
            <w:tcW w:w="0" w:type="auto"/>
            <w:hideMark/>
          </w:tcPr>
          <w:p w14:paraId="6F8787A5" w14:textId="77777777" w:rsidR="00B313E8" w:rsidRPr="0087487B" w:rsidRDefault="00B313E8" w:rsidP="00314B37">
            <w:pPr>
              <w:pStyle w:val="NormalWeb"/>
              <w:jc w:val="left"/>
              <w:rPr>
                <w:sz w:val="18"/>
                <w:szCs w:val="18"/>
              </w:rPr>
            </w:pPr>
            <w:r w:rsidRPr="0087487B">
              <w:rPr>
                <w:sz w:val="18"/>
                <w:szCs w:val="18"/>
              </w:rPr>
              <w:t xml:space="preserve">Skin, </w:t>
            </w:r>
            <w:proofErr w:type="gramStart"/>
            <w:r w:rsidRPr="0087487B">
              <w:rPr>
                <w:sz w:val="18"/>
                <w:szCs w:val="18"/>
              </w:rPr>
              <w:t>conjunctiva</w:t>
            </w:r>
            <w:proofErr w:type="gramEnd"/>
            <w:r w:rsidRPr="0087487B">
              <w:rPr>
                <w:sz w:val="18"/>
                <w:szCs w:val="18"/>
              </w:rPr>
              <w:t xml:space="preserve"> and body fluid discoloration.</w:t>
            </w:r>
            <w:r w:rsidRPr="0087487B">
              <w:rPr>
                <w:sz w:val="18"/>
                <w:szCs w:val="18"/>
              </w:rPr>
              <w:br/>
              <w:t>QT prolongation: 10-20 msec increase.</w:t>
            </w:r>
            <w:r w:rsidRPr="0087487B">
              <w:rPr>
                <w:sz w:val="18"/>
                <w:szCs w:val="18"/>
              </w:rPr>
              <w:br/>
              <w:t>Photosensitivity dermatitis</w:t>
            </w:r>
          </w:p>
        </w:tc>
        <w:tc>
          <w:tcPr>
            <w:tcW w:w="0" w:type="auto"/>
            <w:hideMark/>
          </w:tcPr>
          <w:p w14:paraId="3D6BAC45" w14:textId="77777777" w:rsidR="00B313E8" w:rsidRPr="0087487B" w:rsidRDefault="00B313E8" w:rsidP="00314B37">
            <w:pPr>
              <w:pStyle w:val="NormalWeb"/>
              <w:jc w:val="left"/>
              <w:rPr>
                <w:sz w:val="18"/>
                <w:szCs w:val="18"/>
              </w:rPr>
            </w:pPr>
            <w:r w:rsidRPr="0087487B">
              <w:rPr>
                <w:sz w:val="18"/>
                <w:szCs w:val="18"/>
              </w:rPr>
              <w:t>Abdominal pain</w:t>
            </w:r>
          </w:p>
        </w:tc>
        <w:tc>
          <w:tcPr>
            <w:tcW w:w="0" w:type="auto"/>
            <w:hideMark/>
          </w:tcPr>
          <w:p w14:paraId="66BC991F" w14:textId="77777777" w:rsidR="00B313E8" w:rsidRPr="0087487B" w:rsidRDefault="00B313E8" w:rsidP="00314B37">
            <w:pPr>
              <w:pStyle w:val="NormalWeb"/>
              <w:jc w:val="left"/>
              <w:rPr>
                <w:sz w:val="18"/>
                <w:szCs w:val="18"/>
              </w:rPr>
            </w:pPr>
            <w:r w:rsidRPr="0087487B">
              <w:rPr>
                <w:sz w:val="18"/>
                <w:szCs w:val="18"/>
              </w:rPr>
              <w:t xml:space="preserve">ECG: baseline, </w:t>
            </w:r>
            <w:proofErr w:type="gramStart"/>
            <w:r w:rsidRPr="0087487B">
              <w:rPr>
                <w:sz w:val="18"/>
                <w:szCs w:val="18"/>
              </w:rPr>
              <w:t>2</w:t>
            </w:r>
            <w:proofErr w:type="gramEnd"/>
            <w:r w:rsidRPr="0087487B">
              <w:rPr>
                <w:sz w:val="18"/>
                <w:szCs w:val="18"/>
              </w:rPr>
              <w:t xml:space="preserve"> weekly first month and then monthly when used with other QT prolonging agents</w:t>
            </w:r>
          </w:p>
        </w:tc>
      </w:tr>
      <w:tr w:rsidR="00B313E8" w:rsidRPr="0087487B" w14:paraId="4B2A9254" w14:textId="77777777" w:rsidTr="00B313E8">
        <w:trPr>
          <w:divId w:val="448665177"/>
        </w:trPr>
        <w:tc>
          <w:tcPr>
            <w:tcW w:w="0" w:type="auto"/>
            <w:hideMark/>
          </w:tcPr>
          <w:p w14:paraId="1C1A63E6" w14:textId="77777777" w:rsidR="00B313E8" w:rsidRPr="0087487B" w:rsidRDefault="00B313E8" w:rsidP="00314B37">
            <w:pPr>
              <w:pStyle w:val="NormalWeb"/>
              <w:rPr>
                <w:sz w:val="18"/>
                <w:szCs w:val="18"/>
              </w:rPr>
            </w:pPr>
            <w:proofErr w:type="spellStart"/>
            <w:r w:rsidRPr="0087487B">
              <w:rPr>
                <w:sz w:val="18"/>
                <w:szCs w:val="18"/>
              </w:rPr>
              <w:t>Cycloserine</w:t>
            </w:r>
            <w:proofErr w:type="spellEnd"/>
            <w:r w:rsidRPr="0087487B">
              <w:rPr>
                <w:sz w:val="18"/>
                <w:szCs w:val="18"/>
              </w:rPr>
              <w:t xml:space="preserve"> (Cs)</w:t>
            </w:r>
          </w:p>
        </w:tc>
        <w:tc>
          <w:tcPr>
            <w:tcW w:w="0" w:type="auto"/>
            <w:hideMark/>
          </w:tcPr>
          <w:p w14:paraId="3B7726AD" w14:textId="77777777" w:rsidR="00B313E8" w:rsidRPr="0087487B" w:rsidRDefault="00B313E8" w:rsidP="00314B37">
            <w:pPr>
              <w:pStyle w:val="NormalWeb"/>
              <w:jc w:val="left"/>
              <w:rPr>
                <w:sz w:val="18"/>
                <w:szCs w:val="18"/>
              </w:rPr>
            </w:pPr>
            <w:r w:rsidRPr="0087487B">
              <w:rPr>
                <w:sz w:val="18"/>
                <w:szCs w:val="18"/>
              </w:rPr>
              <w:t>Psychiatric: depression, psychosis, suicidal ideation</w:t>
            </w:r>
            <w:r w:rsidRPr="0087487B">
              <w:rPr>
                <w:sz w:val="18"/>
                <w:szCs w:val="18"/>
              </w:rPr>
              <w:br/>
            </w:r>
            <w:r w:rsidRPr="0087487B">
              <w:rPr>
                <w:sz w:val="18"/>
                <w:szCs w:val="18"/>
              </w:rPr>
              <w:lastRenderedPageBreak/>
              <w:t>CNS toxicity: lethargy, seizures</w:t>
            </w:r>
            <w:r w:rsidRPr="0087487B">
              <w:rPr>
                <w:sz w:val="18"/>
                <w:szCs w:val="18"/>
              </w:rPr>
              <w:br/>
              <w:t>Gastro-intestinal disturbance</w:t>
            </w:r>
          </w:p>
        </w:tc>
        <w:tc>
          <w:tcPr>
            <w:tcW w:w="0" w:type="auto"/>
            <w:hideMark/>
          </w:tcPr>
          <w:p w14:paraId="6513968F" w14:textId="77777777" w:rsidR="00B313E8" w:rsidRPr="0087487B" w:rsidRDefault="00B313E8" w:rsidP="00314B37">
            <w:pPr>
              <w:pStyle w:val="NormalWeb"/>
              <w:jc w:val="left"/>
              <w:rPr>
                <w:sz w:val="18"/>
                <w:szCs w:val="18"/>
              </w:rPr>
            </w:pPr>
            <w:r w:rsidRPr="0087487B">
              <w:rPr>
                <w:sz w:val="18"/>
                <w:szCs w:val="18"/>
              </w:rPr>
              <w:lastRenderedPageBreak/>
              <w:t>Peripheral neuropathy</w:t>
            </w:r>
            <w:r w:rsidRPr="0087487B">
              <w:rPr>
                <w:sz w:val="18"/>
                <w:szCs w:val="18"/>
              </w:rPr>
              <w:br/>
              <w:t>Optic neuritis</w:t>
            </w:r>
            <w:r w:rsidRPr="0087487B">
              <w:rPr>
                <w:sz w:val="18"/>
                <w:szCs w:val="18"/>
              </w:rPr>
              <w:br/>
              <w:t>Rash</w:t>
            </w:r>
          </w:p>
        </w:tc>
        <w:tc>
          <w:tcPr>
            <w:tcW w:w="0" w:type="auto"/>
            <w:hideMark/>
          </w:tcPr>
          <w:p w14:paraId="3B83D260" w14:textId="77777777" w:rsidR="00B313E8" w:rsidRPr="0087487B" w:rsidRDefault="00B313E8" w:rsidP="00314B37">
            <w:pPr>
              <w:pStyle w:val="NormalWeb"/>
              <w:jc w:val="left"/>
              <w:rPr>
                <w:sz w:val="18"/>
                <w:szCs w:val="18"/>
              </w:rPr>
            </w:pPr>
            <w:r w:rsidRPr="0087487B">
              <w:rPr>
                <w:sz w:val="18"/>
                <w:szCs w:val="18"/>
              </w:rPr>
              <w:t>Psychiatric screen</w:t>
            </w:r>
            <w:r w:rsidRPr="0087487B">
              <w:rPr>
                <w:sz w:val="18"/>
                <w:szCs w:val="18"/>
              </w:rPr>
              <w:br/>
              <w:t xml:space="preserve">TDM: peak concentration at 1–2 weeks after starting then as </w:t>
            </w:r>
            <w:proofErr w:type="gramStart"/>
            <w:r w:rsidRPr="0087487B">
              <w:rPr>
                <w:sz w:val="18"/>
                <w:szCs w:val="18"/>
              </w:rPr>
              <w:lastRenderedPageBreak/>
              <w:t>indicated</w:t>
            </w:r>
            <w:proofErr w:type="gramEnd"/>
            <w:r w:rsidRPr="0087487B">
              <w:rPr>
                <w:sz w:val="18"/>
                <w:szCs w:val="18"/>
              </w:rPr>
              <w:t>.</w:t>
            </w:r>
            <w:r w:rsidRPr="0087487B">
              <w:rPr>
                <w:sz w:val="18"/>
                <w:szCs w:val="18"/>
              </w:rPr>
              <w:br/>
              <w:t xml:space="preserve">CNS toxicity is usually associated with a peak level &gt; 35 </w:t>
            </w:r>
            <w:proofErr w:type="spellStart"/>
            <w:r w:rsidRPr="0087487B">
              <w:rPr>
                <w:sz w:val="18"/>
                <w:szCs w:val="18"/>
              </w:rPr>
              <w:t>μg</w:t>
            </w:r>
            <w:proofErr w:type="spellEnd"/>
            <w:r w:rsidRPr="0087487B">
              <w:rPr>
                <w:sz w:val="18"/>
                <w:szCs w:val="18"/>
              </w:rPr>
              <w:t>/ml but can occur in the normal range</w:t>
            </w:r>
          </w:p>
        </w:tc>
      </w:tr>
      <w:tr w:rsidR="00B313E8" w:rsidRPr="0087487B" w14:paraId="0BF592ED" w14:textId="77777777" w:rsidTr="00B313E8">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3B3C781B" w14:textId="77777777" w:rsidR="00B313E8" w:rsidRPr="0087487B" w:rsidRDefault="00B313E8" w:rsidP="00314B37">
            <w:pPr>
              <w:pStyle w:val="NormalWeb"/>
              <w:rPr>
                <w:sz w:val="18"/>
                <w:szCs w:val="18"/>
              </w:rPr>
            </w:pPr>
            <w:r w:rsidRPr="0087487B">
              <w:rPr>
                <w:sz w:val="18"/>
                <w:szCs w:val="18"/>
              </w:rPr>
              <w:lastRenderedPageBreak/>
              <w:t xml:space="preserve">Ethambutol </w:t>
            </w:r>
            <w:proofErr w:type="gramStart"/>
            <w:r w:rsidRPr="0087487B">
              <w:rPr>
                <w:sz w:val="18"/>
                <w:szCs w:val="18"/>
              </w:rPr>
              <w:t>( E</w:t>
            </w:r>
            <w:proofErr w:type="gramEnd"/>
            <w:r w:rsidRPr="0087487B">
              <w:rPr>
                <w:sz w:val="18"/>
                <w:szCs w:val="18"/>
              </w:rPr>
              <w:t xml:space="preserve"> )</w:t>
            </w:r>
          </w:p>
        </w:tc>
        <w:tc>
          <w:tcPr>
            <w:tcW w:w="0" w:type="auto"/>
            <w:hideMark/>
          </w:tcPr>
          <w:p w14:paraId="19D88A9D" w14:textId="77777777" w:rsidR="00B313E8" w:rsidRPr="0087487B" w:rsidRDefault="00B313E8" w:rsidP="00314B37">
            <w:pPr>
              <w:pStyle w:val="NormalWeb"/>
              <w:jc w:val="left"/>
              <w:rPr>
                <w:sz w:val="18"/>
                <w:szCs w:val="18"/>
              </w:rPr>
            </w:pPr>
            <w:r w:rsidRPr="0087487B">
              <w:rPr>
                <w:sz w:val="18"/>
                <w:szCs w:val="18"/>
              </w:rPr>
              <w:t>Gastrointestinal disturbance</w:t>
            </w:r>
          </w:p>
        </w:tc>
        <w:tc>
          <w:tcPr>
            <w:tcW w:w="0" w:type="auto"/>
            <w:hideMark/>
          </w:tcPr>
          <w:p w14:paraId="234A649B" w14:textId="77777777" w:rsidR="00B313E8" w:rsidRPr="0087487B" w:rsidRDefault="00B313E8" w:rsidP="00314B37">
            <w:pPr>
              <w:pStyle w:val="NormalWeb"/>
              <w:jc w:val="left"/>
              <w:rPr>
                <w:sz w:val="18"/>
                <w:szCs w:val="18"/>
              </w:rPr>
            </w:pPr>
            <w:r w:rsidRPr="0087487B">
              <w:rPr>
                <w:sz w:val="18"/>
                <w:szCs w:val="18"/>
              </w:rPr>
              <w:t>Visual acuity and colour vision impairment (optic neuropathy)</w:t>
            </w:r>
            <w:r w:rsidRPr="0087487B">
              <w:rPr>
                <w:sz w:val="18"/>
                <w:szCs w:val="18"/>
              </w:rPr>
              <w:br/>
              <w:t xml:space="preserve">Liver toxicity rare – </w:t>
            </w:r>
            <w:proofErr w:type="gramStart"/>
            <w:r w:rsidRPr="0087487B">
              <w:rPr>
                <w:sz w:val="18"/>
                <w:szCs w:val="18"/>
              </w:rPr>
              <w:t>generally considered</w:t>
            </w:r>
            <w:proofErr w:type="gramEnd"/>
            <w:r w:rsidRPr="0087487B">
              <w:rPr>
                <w:sz w:val="18"/>
                <w:szCs w:val="18"/>
              </w:rPr>
              <w:t xml:space="preserve"> liver safe</w:t>
            </w:r>
            <w:r w:rsidRPr="0087487B">
              <w:rPr>
                <w:sz w:val="18"/>
                <w:szCs w:val="18"/>
              </w:rPr>
              <w:br/>
              <w:t>Rash</w:t>
            </w:r>
          </w:p>
        </w:tc>
        <w:tc>
          <w:tcPr>
            <w:tcW w:w="0" w:type="auto"/>
            <w:hideMark/>
          </w:tcPr>
          <w:p w14:paraId="7802514B" w14:textId="77777777" w:rsidR="00B313E8" w:rsidRPr="0087487B" w:rsidRDefault="00B313E8" w:rsidP="00314B37">
            <w:pPr>
              <w:pStyle w:val="NormalWeb"/>
              <w:jc w:val="left"/>
              <w:rPr>
                <w:sz w:val="18"/>
                <w:szCs w:val="18"/>
              </w:rPr>
            </w:pPr>
            <w:r w:rsidRPr="0087487B">
              <w:rPr>
                <w:sz w:val="18"/>
                <w:szCs w:val="18"/>
              </w:rPr>
              <w:t>Visual acuities, colour vision: baseline, then at least monthly</w:t>
            </w:r>
            <w:r w:rsidRPr="0087487B">
              <w:rPr>
                <w:sz w:val="18"/>
                <w:szCs w:val="18"/>
              </w:rPr>
              <w:br/>
              <w:t>(particularly in those with any renal impairment)</w:t>
            </w:r>
          </w:p>
        </w:tc>
      </w:tr>
      <w:tr w:rsidR="00B313E8" w:rsidRPr="0087487B" w14:paraId="1F53FC38" w14:textId="77777777" w:rsidTr="00B313E8">
        <w:trPr>
          <w:divId w:val="448665177"/>
        </w:trPr>
        <w:tc>
          <w:tcPr>
            <w:tcW w:w="0" w:type="auto"/>
            <w:hideMark/>
          </w:tcPr>
          <w:p w14:paraId="67123821" w14:textId="77777777" w:rsidR="00B313E8" w:rsidRPr="0087487B" w:rsidRDefault="00B313E8" w:rsidP="00314B37">
            <w:pPr>
              <w:pStyle w:val="NormalWeb"/>
              <w:rPr>
                <w:sz w:val="18"/>
                <w:szCs w:val="18"/>
              </w:rPr>
            </w:pPr>
            <w:r w:rsidRPr="0087487B">
              <w:rPr>
                <w:sz w:val="18"/>
                <w:szCs w:val="18"/>
              </w:rPr>
              <w:t>Pyrazinamide (Z)</w:t>
            </w:r>
          </w:p>
        </w:tc>
        <w:tc>
          <w:tcPr>
            <w:tcW w:w="0" w:type="auto"/>
            <w:hideMark/>
          </w:tcPr>
          <w:p w14:paraId="4100465F" w14:textId="77777777" w:rsidR="00B313E8" w:rsidRPr="0087487B" w:rsidRDefault="00B313E8" w:rsidP="00314B37">
            <w:pPr>
              <w:pStyle w:val="NormalWeb"/>
              <w:jc w:val="left"/>
              <w:rPr>
                <w:sz w:val="18"/>
                <w:szCs w:val="18"/>
              </w:rPr>
            </w:pPr>
            <w:r w:rsidRPr="0087487B">
              <w:rPr>
                <w:sz w:val="18"/>
                <w:szCs w:val="18"/>
              </w:rPr>
              <w:t>Asymptomatic hyperuricaemia (expected, treat only if gouty arthritis occurs)</w:t>
            </w:r>
            <w:r w:rsidRPr="0087487B">
              <w:rPr>
                <w:sz w:val="18"/>
                <w:szCs w:val="18"/>
              </w:rPr>
              <w:br/>
              <w:t>Arthralgia</w:t>
            </w:r>
            <w:r w:rsidRPr="0087487B">
              <w:rPr>
                <w:sz w:val="18"/>
                <w:szCs w:val="18"/>
              </w:rPr>
              <w:br/>
              <w:t>Gastrointestinal disturbance</w:t>
            </w:r>
          </w:p>
        </w:tc>
        <w:tc>
          <w:tcPr>
            <w:tcW w:w="0" w:type="auto"/>
            <w:hideMark/>
          </w:tcPr>
          <w:p w14:paraId="42987212" w14:textId="77777777" w:rsidR="00B313E8" w:rsidRPr="0087487B" w:rsidRDefault="00B313E8" w:rsidP="00314B37">
            <w:pPr>
              <w:pStyle w:val="NormalWeb"/>
              <w:jc w:val="left"/>
              <w:rPr>
                <w:sz w:val="18"/>
                <w:szCs w:val="18"/>
              </w:rPr>
            </w:pPr>
            <w:r w:rsidRPr="0087487B">
              <w:rPr>
                <w:sz w:val="18"/>
                <w:szCs w:val="18"/>
              </w:rPr>
              <w:t>Hepato-toxicity</w:t>
            </w:r>
            <w:r w:rsidRPr="0087487B">
              <w:rPr>
                <w:sz w:val="18"/>
                <w:szCs w:val="18"/>
              </w:rPr>
              <w:br/>
              <w:t>Gout</w:t>
            </w:r>
            <w:r w:rsidRPr="0087487B">
              <w:rPr>
                <w:sz w:val="18"/>
                <w:szCs w:val="18"/>
              </w:rPr>
              <w:br/>
              <w:t>Photosensitive dermatitis</w:t>
            </w:r>
            <w:r w:rsidRPr="0087487B">
              <w:rPr>
                <w:sz w:val="18"/>
                <w:szCs w:val="18"/>
              </w:rPr>
              <w:br/>
              <w:t>Hypersensitivity reactions</w:t>
            </w:r>
          </w:p>
        </w:tc>
        <w:tc>
          <w:tcPr>
            <w:tcW w:w="0" w:type="auto"/>
            <w:hideMark/>
          </w:tcPr>
          <w:p w14:paraId="6D5CE1EC" w14:textId="77777777" w:rsidR="00B313E8" w:rsidRPr="0087487B" w:rsidRDefault="00B313E8" w:rsidP="00314B37">
            <w:pPr>
              <w:pStyle w:val="NormalWeb"/>
              <w:jc w:val="left"/>
              <w:rPr>
                <w:sz w:val="18"/>
                <w:szCs w:val="18"/>
              </w:rPr>
            </w:pPr>
            <w:r w:rsidRPr="0087487B">
              <w:rPr>
                <w:sz w:val="18"/>
                <w:szCs w:val="18"/>
              </w:rPr>
              <w:t>Liver function: baseline, at 2 weeks then at least monthly</w:t>
            </w:r>
          </w:p>
        </w:tc>
      </w:tr>
      <w:tr w:rsidR="00B313E8" w:rsidRPr="0087487B" w14:paraId="73FAD4EB" w14:textId="77777777" w:rsidTr="00B313E8">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73FFAFF4" w14:textId="77777777" w:rsidR="00B313E8" w:rsidRPr="0087487B" w:rsidRDefault="00B313E8" w:rsidP="00314B37">
            <w:pPr>
              <w:pStyle w:val="NormalWeb"/>
              <w:rPr>
                <w:sz w:val="18"/>
                <w:szCs w:val="18"/>
              </w:rPr>
            </w:pPr>
            <w:proofErr w:type="spellStart"/>
            <w:r w:rsidRPr="0087487B">
              <w:rPr>
                <w:sz w:val="18"/>
                <w:szCs w:val="18"/>
              </w:rPr>
              <w:t>Delamanid</w:t>
            </w:r>
            <w:proofErr w:type="spellEnd"/>
            <w:r w:rsidRPr="0087487B">
              <w:rPr>
                <w:sz w:val="18"/>
                <w:szCs w:val="18"/>
              </w:rPr>
              <w:t xml:space="preserve"> (</w:t>
            </w:r>
            <w:proofErr w:type="spellStart"/>
            <w:r w:rsidRPr="0087487B">
              <w:rPr>
                <w:sz w:val="18"/>
                <w:szCs w:val="18"/>
              </w:rPr>
              <w:t>Dlm</w:t>
            </w:r>
            <w:proofErr w:type="spellEnd"/>
            <w:r w:rsidRPr="0087487B">
              <w:rPr>
                <w:sz w:val="18"/>
                <w:szCs w:val="18"/>
              </w:rPr>
              <w:t>)</w:t>
            </w:r>
          </w:p>
        </w:tc>
        <w:tc>
          <w:tcPr>
            <w:tcW w:w="0" w:type="auto"/>
            <w:hideMark/>
          </w:tcPr>
          <w:p w14:paraId="330E2C03" w14:textId="77777777" w:rsidR="00B313E8" w:rsidRPr="0087487B" w:rsidRDefault="00B313E8" w:rsidP="00314B37">
            <w:pPr>
              <w:pStyle w:val="NormalWeb"/>
              <w:jc w:val="left"/>
              <w:rPr>
                <w:sz w:val="18"/>
                <w:szCs w:val="18"/>
              </w:rPr>
            </w:pPr>
            <w:r w:rsidRPr="0087487B">
              <w:rPr>
                <w:sz w:val="18"/>
                <w:szCs w:val="18"/>
              </w:rPr>
              <w:t>Gastrointestinal disturbance</w:t>
            </w:r>
            <w:r w:rsidRPr="0087487B">
              <w:rPr>
                <w:sz w:val="18"/>
                <w:szCs w:val="18"/>
              </w:rPr>
              <w:br/>
              <w:t>Insomnia</w:t>
            </w:r>
          </w:p>
        </w:tc>
        <w:tc>
          <w:tcPr>
            <w:tcW w:w="0" w:type="auto"/>
            <w:hideMark/>
          </w:tcPr>
          <w:p w14:paraId="41BB390B" w14:textId="77777777" w:rsidR="00B313E8" w:rsidRPr="0087487B" w:rsidRDefault="00B313E8" w:rsidP="00314B37">
            <w:pPr>
              <w:pStyle w:val="NormalWeb"/>
              <w:jc w:val="left"/>
              <w:rPr>
                <w:sz w:val="18"/>
                <w:szCs w:val="18"/>
              </w:rPr>
            </w:pPr>
            <w:r w:rsidRPr="0087487B">
              <w:rPr>
                <w:sz w:val="18"/>
                <w:szCs w:val="18"/>
              </w:rPr>
              <w:t>QTc prolongation</w:t>
            </w:r>
          </w:p>
        </w:tc>
        <w:tc>
          <w:tcPr>
            <w:tcW w:w="0" w:type="auto"/>
            <w:hideMark/>
          </w:tcPr>
          <w:p w14:paraId="46883F8D" w14:textId="77777777" w:rsidR="00B313E8" w:rsidRPr="0087487B" w:rsidRDefault="00B313E8" w:rsidP="00314B37">
            <w:pPr>
              <w:pStyle w:val="NormalWeb"/>
              <w:jc w:val="left"/>
              <w:rPr>
                <w:sz w:val="18"/>
                <w:szCs w:val="18"/>
              </w:rPr>
            </w:pPr>
            <w:r w:rsidRPr="0087487B">
              <w:rPr>
                <w:sz w:val="18"/>
                <w:szCs w:val="18"/>
              </w:rPr>
              <w:t xml:space="preserve">ECG: baseline, </w:t>
            </w:r>
            <w:proofErr w:type="gramStart"/>
            <w:r w:rsidRPr="0087487B">
              <w:rPr>
                <w:sz w:val="18"/>
                <w:szCs w:val="18"/>
              </w:rPr>
              <w:t>2</w:t>
            </w:r>
            <w:proofErr w:type="gramEnd"/>
            <w:r w:rsidRPr="0087487B">
              <w:rPr>
                <w:sz w:val="18"/>
                <w:szCs w:val="18"/>
              </w:rPr>
              <w:t xml:space="preserve"> weekly first month and then monthly</w:t>
            </w:r>
            <w:r w:rsidRPr="0087487B">
              <w:rPr>
                <w:sz w:val="18"/>
                <w:szCs w:val="18"/>
              </w:rPr>
              <w:br/>
              <w:t>Electrolytes: at least monthly (K, Ca, Mg)</w:t>
            </w:r>
            <w:r w:rsidRPr="0087487B">
              <w:rPr>
                <w:sz w:val="18"/>
                <w:szCs w:val="18"/>
              </w:rPr>
              <w:br/>
              <w:t>Liver function: at 2 weeks then at least monthly</w:t>
            </w:r>
          </w:p>
        </w:tc>
      </w:tr>
      <w:tr w:rsidR="00B313E8" w:rsidRPr="0087487B" w14:paraId="6419D11F" w14:textId="77777777" w:rsidTr="00B313E8">
        <w:trPr>
          <w:divId w:val="448665177"/>
        </w:trPr>
        <w:tc>
          <w:tcPr>
            <w:tcW w:w="0" w:type="auto"/>
            <w:hideMark/>
          </w:tcPr>
          <w:p w14:paraId="78C72D42" w14:textId="77777777" w:rsidR="00B313E8" w:rsidRPr="0087487B" w:rsidRDefault="00B313E8" w:rsidP="00314B37">
            <w:pPr>
              <w:pStyle w:val="NormalWeb"/>
              <w:rPr>
                <w:sz w:val="18"/>
                <w:szCs w:val="18"/>
              </w:rPr>
            </w:pPr>
            <w:r w:rsidRPr="0087487B">
              <w:rPr>
                <w:sz w:val="18"/>
                <w:szCs w:val="18"/>
              </w:rPr>
              <w:t>Amikacin (Am)</w:t>
            </w:r>
            <w:r w:rsidRPr="0087487B">
              <w:rPr>
                <w:sz w:val="18"/>
                <w:szCs w:val="18"/>
              </w:rPr>
              <w:br/>
              <w:t>Streptomycin (S)</w:t>
            </w:r>
          </w:p>
        </w:tc>
        <w:tc>
          <w:tcPr>
            <w:tcW w:w="0" w:type="auto"/>
            <w:hideMark/>
          </w:tcPr>
          <w:p w14:paraId="0C2040C7" w14:textId="77777777" w:rsidR="00B313E8" w:rsidRPr="0087487B" w:rsidRDefault="00B313E8" w:rsidP="00314B37">
            <w:pPr>
              <w:pStyle w:val="NormalWeb"/>
              <w:jc w:val="left"/>
              <w:rPr>
                <w:sz w:val="18"/>
                <w:szCs w:val="18"/>
              </w:rPr>
            </w:pPr>
            <w:r w:rsidRPr="0087487B">
              <w:rPr>
                <w:sz w:val="18"/>
                <w:szCs w:val="18"/>
              </w:rPr>
              <w:t>Proteinuria</w:t>
            </w:r>
            <w:r w:rsidRPr="0087487B">
              <w:rPr>
                <w:sz w:val="18"/>
                <w:szCs w:val="18"/>
              </w:rPr>
              <w:br/>
              <w:t>Ototoxicity</w:t>
            </w:r>
          </w:p>
        </w:tc>
        <w:tc>
          <w:tcPr>
            <w:tcW w:w="0" w:type="auto"/>
            <w:hideMark/>
          </w:tcPr>
          <w:p w14:paraId="4C61D940" w14:textId="77777777" w:rsidR="00B313E8" w:rsidRPr="0087487B" w:rsidRDefault="00B313E8" w:rsidP="00314B37">
            <w:pPr>
              <w:pStyle w:val="NormalWeb"/>
              <w:jc w:val="left"/>
              <w:rPr>
                <w:sz w:val="18"/>
                <w:szCs w:val="18"/>
              </w:rPr>
            </w:pPr>
            <w:r w:rsidRPr="0087487B">
              <w:rPr>
                <w:sz w:val="18"/>
                <w:szCs w:val="18"/>
              </w:rPr>
              <w:t>Electrolyte abnormalities: may result in QTc prolongation</w:t>
            </w:r>
            <w:r w:rsidRPr="0087487B">
              <w:rPr>
                <w:sz w:val="18"/>
                <w:szCs w:val="18"/>
              </w:rPr>
              <w:br/>
              <w:t>Renal toxicity</w:t>
            </w:r>
            <w:r w:rsidRPr="0087487B">
              <w:rPr>
                <w:sz w:val="18"/>
                <w:szCs w:val="18"/>
              </w:rPr>
              <w:br/>
              <w:t>Peripheral neuropathy</w:t>
            </w:r>
            <w:r w:rsidRPr="0087487B">
              <w:rPr>
                <w:sz w:val="18"/>
                <w:szCs w:val="18"/>
              </w:rPr>
              <w:br/>
              <w:t>Rash</w:t>
            </w:r>
          </w:p>
        </w:tc>
        <w:tc>
          <w:tcPr>
            <w:tcW w:w="0" w:type="auto"/>
            <w:hideMark/>
          </w:tcPr>
          <w:p w14:paraId="60D8469D" w14:textId="77777777" w:rsidR="00B313E8" w:rsidRPr="0087487B" w:rsidRDefault="00B313E8" w:rsidP="00314B37">
            <w:pPr>
              <w:pStyle w:val="NormalWeb"/>
              <w:jc w:val="left"/>
              <w:rPr>
                <w:sz w:val="18"/>
                <w:szCs w:val="18"/>
              </w:rPr>
            </w:pPr>
            <w:r w:rsidRPr="0087487B">
              <w:rPr>
                <w:sz w:val="18"/>
                <w:szCs w:val="18"/>
              </w:rPr>
              <w:t xml:space="preserve">Electrolytes (K, </w:t>
            </w:r>
            <w:proofErr w:type="spellStart"/>
            <w:proofErr w:type="gramStart"/>
            <w:r w:rsidRPr="0087487B">
              <w:rPr>
                <w:sz w:val="18"/>
                <w:szCs w:val="18"/>
              </w:rPr>
              <w:t>Ca,Mg</w:t>
            </w:r>
            <w:proofErr w:type="spellEnd"/>
            <w:proofErr w:type="gramEnd"/>
            <w:r w:rsidRPr="0087487B">
              <w:rPr>
                <w:sz w:val="18"/>
                <w:szCs w:val="18"/>
              </w:rPr>
              <w:t>) and renal function: baseline and at least monthly</w:t>
            </w:r>
            <w:r w:rsidRPr="0087487B">
              <w:rPr>
                <w:sz w:val="18"/>
                <w:szCs w:val="18"/>
              </w:rPr>
              <w:br/>
              <w:t>Audiometry: baseline and at least monthly</w:t>
            </w:r>
            <w:r w:rsidRPr="0087487B">
              <w:rPr>
                <w:sz w:val="18"/>
                <w:szCs w:val="18"/>
              </w:rPr>
              <w:br/>
              <w:t>Regular vestibular clinical assessment</w:t>
            </w:r>
            <w:r w:rsidRPr="0087487B">
              <w:rPr>
                <w:sz w:val="18"/>
                <w:szCs w:val="18"/>
              </w:rPr>
              <w:br/>
              <w:t>TDM: peak and trough blood levels according to local protocol</w:t>
            </w:r>
          </w:p>
        </w:tc>
      </w:tr>
      <w:tr w:rsidR="00B313E8" w:rsidRPr="0087487B" w14:paraId="7568D192" w14:textId="77777777" w:rsidTr="00B313E8">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4D78752B" w14:textId="77777777" w:rsidR="00B313E8" w:rsidRPr="0087487B" w:rsidRDefault="00B313E8" w:rsidP="00314B37">
            <w:pPr>
              <w:pStyle w:val="NormalWeb"/>
              <w:rPr>
                <w:sz w:val="18"/>
                <w:szCs w:val="18"/>
              </w:rPr>
            </w:pPr>
            <w:r w:rsidRPr="0087487B">
              <w:rPr>
                <w:sz w:val="18"/>
                <w:szCs w:val="18"/>
              </w:rPr>
              <w:t>Imipenem/</w:t>
            </w:r>
            <w:proofErr w:type="spellStart"/>
            <w:r w:rsidRPr="0087487B">
              <w:rPr>
                <w:sz w:val="18"/>
                <w:szCs w:val="18"/>
              </w:rPr>
              <w:t>cilastatin</w:t>
            </w:r>
            <w:proofErr w:type="spellEnd"/>
            <w:r w:rsidRPr="0087487B">
              <w:rPr>
                <w:sz w:val="18"/>
                <w:szCs w:val="18"/>
              </w:rPr>
              <w:br/>
              <w:t>Meropenem/clavulanic acid</w:t>
            </w:r>
          </w:p>
        </w:tc>
        <w:tc>
          <w:tcPr>
            <w:tcW w:w="0" w:type="auto"/>
            <w:hideMark/>
          </w:tcPr>
          <w:p w14:paraId="2133C379" w14:textId="77777777" w:rsidR="00B313E8" w:rsidRPr="0087487B" w:rsidRDefault="00B313E8" w:rsidP="00314B37">
            <w:pPr>
              <w:pStyle w:val="NormalWeb"/>
              <w:jc w:val="left"/>
              <w:rPr>
                <w:sz w:val="18"/>
                <w:szCs w:val="18"/>
              </w:rPr>
            </w:pPr>
            <w:r w:rsidRPr="0087487B">
              <w:rPr>
                <w:sz w:val="18"/>
                <w:szCs w:val="18"/>
              </w:rPr>
              <w:t>Often poorly tolerated</w:t>
            </w:r>
            <w:r w:rsidRPr="0087487B">
              <w:rPr>
                <w:sz w:val="18"/>
                <w:szCs w:val="18"/>
              </w:rPr>
              <w:br/>
              <w:t>Headache, nausea, vomiting, diarrhoea</w:t>
            </w:r>
            <w:r w:rsidRPr="0087487B">
              <w:rPr>
                <w:sz w:val="18"/>
                <w:szCs w:val="18"/>
              </w:rPr>
              <w:br/>
              <w:t>Hepatic toxicity</w:t>
            </w:r>
            <w:r w:rsidRPr="0087487B">
              <w:rPr>
                <w:sz w:val="18"/>
                <w:szCs w:val="18"/>
              </w:rPr>
              <w:br/>
              <w:t>Thrush</w:t>
            </w:r>
          </w:p>
        </w:tc>
        <w:tc>
          <w:tcPr>
            <w:tcW w:w="0" w:type="auto"/>
            <w:hideMark/>
          </w:tcPr>
          <w:p w14:paraId="59DEAC0F" w14:textId="77777777" w:rsidR="00B313E8" w:rsidRPr="0087487B" w:rsidRDefault="00B313E8" w:rsidP="00314B37">
            <w:pPr>
              <w:pStyle w:val="NormalWeb"/>
              <w:jc w:val="left"/>
              <w:rPr>
                <w:sz w:val="18"/>
                <w:szCs w:val="18"/>
              </w:rPr>
            </w:pPr>
            <w:r w:rsidRPr="0087487B">
              <w:rPr>
                <w:sz w:val="18"/>
                <w:szCs w:val="18"/>
              </w:rPr>
              <w:t>Pseudomembranous colitis</w:t>
            </w:r>
            <w:r w:rsidRPr="0087487B">
              <w:rPr>
                <w:sz w:val="18"/>
                <w:szCs w:val="18"/>
              </w:rPr>
              <w:br/>
              <w:t>Rash</w:t>
            </w:r>
            <w:r w:rsidRPr="0087487B">
              <w:rPr>
                <w:sz w:val="18"/>
                <w:szCs w:val="18"/>
              </w:rPr>
              <w:br/>
              <w:t>Fatigue</w:t>
            </w:r>
          </w:p>
        </w:tc>
        <w:tc>
          <w:tcPr>
            <w:tcW w:w="0" w:type="auto"/>
            <w:hideMark/>
          </w:tcPr>
          <w:p w14:paraId="4E7B90A4" w14:textId="77777777" w:rsidR="00B313E8" w:rsidRPr="0087487B" w:rsidRDefault="00B313E8" w:rsidP="00314B37">
            <w:pPr>
              <w:pStyle w:val="NormalWeb"/>
              <w:jc w:val="left"/>
              <w:rPr>
                <w:sz w:val="18"/>
                <w:szCs w:val="18"/>
              </w:rPr>
            </w:pPr>
            <w:r w:rsidRPr="0087487B">
              <w:rPr>
                <w:sz w:val="18"/>
                <w:szCs w:val="18"/>
              </w:rPr>
              <w:t xml:space="preserve">Electrolytes (K, </w:t>
            </w:r>
            <w:proofErr w:type="spellStart"/>
            <w:proofErr w:type="gramStart"/>
            <w:r w:rsidRPr="0087487B">
              <w:rPr>
                <w:sz w:val="18"/>
                <w:szCs w:val="18"/>
              </w:rPr>
              <w:t>Ca,Mg</w:t>
            </w:r>
            <w:proofErr w:type="spellEnd"/>
            <w:proofErr w:type="gramEnd"/>
            <w:r w:rsidRPr="0087487B">
              <w:rPr>
                <w:sz w:val="18"/>
                <w:szCs w:val="18"/>
              </w:rPr>
              <w:t>) and renal function: at least monthly</w:t>
            </w:r>
            <w:r w:rsidRPr="0087487B">
              <w:rPr>
                <w:sz w:val="18"/>
                <w:szCs w:val="18"/>
              </w:rPr>
              <w:br/>
              <w:t>TDM: peak and trough blood levels according to local protocol</w:t>
            </w:r>
          </w:p>
        </w:tc>
      </w:tr>
      <w:tr w:rsidR="00B313E8" w:rsidRPr="0087487B" w14:paraId="7AE88318" w14:textId="77777777" w:rsidTr="00B313E8">
        <w:trPr>
          <w:divId w:val="448665177"/>
        </w:trPr>
        <w:tc>
          <w:tcPr>
            <w:tcW w:w="0" w:type="auto"/>
            <w:hideMark/>
          </w:tcPr>
          <w:p w14:paraId="513CC0C1" w14:textId="77777777" w:rsidR="00B313E8" w:rsidRPr="0087487B" w:rsidRDefault="00B313E8" w:rsidP="00314B37">
            <w:pPr>
              <w:pStyle w:val="NormalWeb"/>
              <w:rPr>
                <w:sz w:val="18"/>
                <w:szCs w:val="18"/>
              </w:rPr>
            </w:pPr>
            <w:r w:rsidRPr="0087487B">
              <w:rPr>
                <w:sz w:val="18"/>
                <w:szCs w:val="18"/>
              </w:rPr>
              <w:t>Ethionamide (</w:t>
            </w:r>
            <w:proofErr w:type="spellStart"/>
            <w:r w:rsidRPr="0087487B">
              <w:rPr>
                <w:sz w:val="18"/>
                <w:szCs w:val="18"/>
              </w:rPr>
              <w:t>Eto</w:t>
            </w:r>
            <w:proofErr w:type="spellEnd"/>
            <w:r w:rsidRPr="0087487B">
              <w:rPr>
                <w:sz w:val="18"/>
                <w:szCs w:val="18"/>
              </w:rPr>
              <w:t>)</w:t>
            </w:r>
            <w:r w:rsidRPr="0087487B">
              <w:rPr>
                <w:sz w:val="18"/>
                <w:szCs w:val="18"/>
              </w:rPr>
              <w:br/>
              <w:t xml:space="preserve">(or </w:t>
            </w:r>
            <w:proofErr w:type="spellStart"/>
            <w:r w:rsidRPr="0087487B">
              <w:rPr>
                <w:sz w:val="18"/>
                <w:szCs w:val="18"/>
              </w:rPr>
              <w:t>prothionamide</w:t>
            </w:r>
            <w:proofErr w:type="spellEnd"/>
            <w:r w:rsidRPr="0087487B">
              <w:rPr>
                <w:sz w:val="18"/>
                <w:szCs w:val="18"/>
              </w:rPr>
              <w:t>)</w:t>
            </w:r>
          </w:p>
        </w:tc>
        <w:tc>
          <w:tcPr>
            <w:tcW w:w="0" w:type="auto"/>
            <w:hideMark/>
          </w:tcPr>
          <w:p w14:paraId="22BB898D" w14:textId="77777777" w:rsidR="00B313E8" w:rsidRPr="0087487B" w:rsidRDefault="00B313E8" w:rsidP="00314B37">
            <w:pPr>
              <w:pStyle w:val="NormalWeb"/>
              <w:jc w:val="left"/>
              <w:rPr>
                <w:sz w:val="18"/>
                <w:szCs w:val="18"/>
              </w:rPr>
            </w:pPr>
            <w:r w:rsidRPr="0087487B">
              <w:rPr>
                <w:sz w:val="18"/>
                <w:szCs w:val="18"/>
              </w:rPr>
              <w:t>Often poorly tolerated</w:t>
            </w:r>
            <w:r w:rsidRPr="0087487B">
              <w:rPr>
                <w:sz w:val="18"/>
                <w:szCs w:val="18"/>
              </w:rPr>
              <w:br/>
              <w:t>Gastro-intestinal disturbance</w:t>
            </w:r>
            <w:r w:rsidRPr="0087487B">
              <w:rPr>
                <w:sz w:val="18"/>
                <w:szCs w:val="18"/>
              </w:rPr>
              <w:br/>
              <w:t>Hepatic toxicity</w:t>
            </w:r>
          </w:p>
        </w:tc>
        <w:tc>
          <w:tcPr>
            <w:tcW w:w="0" w:type="auto"/>
            <w:hideMark/>
          </w:tcPr>
          <w:p w14:paraId="0F98AD1C" w14:textId="77777777" w:rsidR="00B313E8" w:rsidRPr="0087487B" w:rsidRDefault="00B313E8" w:rsidP="00314B37">
            <w:pPr>
              <w:pStyle w:val="NormalWeb"/>
              <w:jc w:val="left"/>
              <w:rPr>
                <w:sz w:val="18"/>
                <w:szCs w:val="18"/>
              </w:rPr>
            </w:pPr>
            <w:r w:rsidRPr="0087487B">
              <w:rPr>
                <w:sz w:val="18"/>
                <w:szCs w:val="18"/>
              </w:rPr>
              <w:t>Psychiatric disturbance</w:t>
            </w:r>
            <w:r w:rsidRPr="0087487B">
              <w:rPr>
                <w:sz w:val="18"/>
                <w:szCs w:val="18"/>
              </w:rPr>
              <w:br/>
              <w:t xml:space="preserve">Neurotoxicity </w:t>
            </w:r>
            <w:proofErr w:type="spellStart"/>
            <w:proofErr w:type="gramStart"/>
            <w:r w:rsidRPr="0087487B">
              <w:rPr>
                <w:sz w:val="18"/>
                <w:szCs w:val="18"/>
              </w:rPr>
              <w:t>eg</w:t>
            </w:r>
            <w:proofErr w:type="spellEnd"/>
            <w:proofErr w:type="gramEnd"/>
            <w:r w:rsidRPr="0087487B">
              <w:rPr>
                <w:sz w:val="18"/>
                <w:szCs w:val="18"/>
              </w:rPr>
              <w:t xml:space="preserve"> convulsions (beware if also using </w:t>
            </w:r>
            <w:proofErr w:type="spellStart"/>
            <w:r w:rsidRPr="0087487B">
              <w:rPr>
                <w:sz w:val="18"/>
                <w:szCs w:val="18"/>
              </w:rPr>
              <w:t>cycloserine</w:t>
            </w:r>
            <w:proofErr w:type="spellEnd"/>
            <w:r w:rsidRPr="0087487B">
              <w:rPr>
                <w:sz w:val="18"/>
                <w:szCs w:val="18"/>
              </w:rPr>
              <w:t>)</w:t>
            </w:r>
            <w:r w:rsidRPr="0087487B">
              <w:rPr>
                <w:sz w:val="18"/>
                <w:szCs w:val="18"/>
              </w:rPr>
              <w:br/>
              <w:t>Hypothyroidism (increased risk when used with PAS)</w:t>
            </w:r>
          </w:p>
        </w:tc>
        <w:tc>
          <w:tcPr>
            <w:tcW w:w="0" w:type="auto"/>
            <w:hideMark/>
          </w:tcPr>
          <w:p w14:paraId="6F35B834" w14:textId="77777777" w:rsidR="00B313E8" w:rsidRPr="0087487B" w:rsidRDefault="00B313E8" w:rsidP="00314B37">
            <w:pPr>
              <w:pStyle w:val="NormalWeb"/>
              <w:jc w:val="left"/>
              <w:rPr>
                <w:sz w:val="18"/>
                <w:szCs w:val="18"/>
              </w:rPr>
            </w:pPr>
            <w:r w:rsidRPr="0087487B">
              <w:rPr>
                <w:sz w:val="18"/>
                <w:szCs w:val="18"/>
              </w:rPr>
              <w:t>Liver function: at 2 weeks then at least monthly</w:t>
            </w:r>
            <w:r w:rsidRPr="0087487B">
              <w:rPr>
                <w:sz w:val="18"/>
                <w:szCs w:val="18"/>
              </w:rPr>
              <w:br/>
              <w:t xml:space="preserve">TSH: baseline and then at least </w:t>
            </w:r>
            <w:proofErr w:type="gramStart"/>
            <w:r w:rsidRPr="0087487B">
              <w:rPr>
                <w:sz w:val="18"/>
                <w:szCs w:val="18"/>
              </w:rPr>
              <w:t>3</w:t>
            </w:r>
            <w:proofErr w:type="gramEnd"/>
            <w:r w:rsidRPr="0087487B">
              <w:rPr>
                <w:sz w:val="18"/>
                <w:szCs w:val="18"/>
              </w:rPr>
              <w:t xml:space="preserve"> monthly</w:t>
            </w:r>
          </w:p>
        </w:tc>
      </w:tr>
      <w:tr w:rsidR="00B313E8" w:rsidRPr="0087487B" w14:paraId="318B4961" w14:textId="77777777" w:rsidTr="00B313E8">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44FA389D" w14:textId="77777777" w:rsidR="00B313E8" w:rsidRPr="0087487B" w:rsidRDefault="00B313E8" w:rsidP="00314B37">
            <w:pPr>
              <w:pStyle w:val="NormalWeb"/>
              <w:rPr>
                <w:sz w:val="18"/>
                <w:szCs w:val="18"/>
              </w:rPr>
            </w:pPr>
            <w:r w:rsidRPr="0087487B">
              <w:rPr>
                <w:sz w:val="18"/>
                <w:szCs w:val="18"/>
              </w:rPr>
              <w:t>PAS (Para-</w:t>
            </w:r>
            <w:proofErr w:type="spellStart"/>
            <w:r w:rsidRPr="0087487B">
              <w:rPr>
                <w:sz w:val="18"/>
                <w:szCs w:val="18"/>
              </w:rPr>
              <w:t>aminosalicylic</w:t>
            </w:r>
            <w:proofErr w:type="spellEnd"/>
            <w:r w:rsidRPr="0087487B">
              <w:rPr>
                <w:sz w:val="18"/>
                <w:szCs w:val="18"/>
              </w:rPr>
              <w:t xml:space="preserve"> acid)</w:t>
            </w:r>
          </w:p>
        </w:tc>
        <w:tc>
          <w:tcPr>
            <w:tcW w:w="0" w:type="auto"/>
            <w:hideMark/>
          </w:tcPr>
          <w:p w14:paraId="4E5AB37B" w14:textId="77777777" w:rsidR="00B313E8" w:rsidRPr="0087487B" w:rsidRDefault="00B313E8" w:rsidP="00314B37">
            <w:pPr>
              <w:pStyle w:val="NormalWeb"/>
              <w:jc w:val="left"/>
              <w:rPr>
                <w:sz w:val="18"/>
                <w:szCs w:val="18"/>
              </w:rPr>
            </w:pPr>
            <w:r w:rsidRPr="0087487B">
              <w:rPr>
                <w:sz w:val="18"/>
                <w:szCs w:val="18"/>
              </w:rPr>
              <w:t>Often poorly tolerated</w:t>
            </w:r>
            <w:r w:rsidRPr="0087487B">
              <w:rPr>
                <w:sz w:val="18"/>
                <w:szCs w:val="18"/>
              </w:rPr>
              <w:br/>
              <w:t>Gastro-intestinal disturbance</w:t>
            </w:r>
            <w:r w:rsidRPr="0087487B">
              <w:rPr>
                <w:sz w:val="18"/>
                <w:szCs w:val="18"/>
              </w:rPr>
              <w:br/>
              <w:t>Hypothyroidism (increased risk when used with ethionamide)</w:t>
            </w:r>
          </w:p>
        </w:tc>
        <w:tc>
          <w:tcPr>
            <w:tcW w:w="0" w:type="auto"/>
            <w:hideMark/>
          </w:tcPr>
          <w:p w14:paraId="08A4445D" w14:textId="77777777" w:rsidR="00B313E8" w:rsidRPr="0087487B" w:rsidRDefault="00B313E8" w:rsidP="00314B37">
            <w:pPr>
              <w:pStyle w:val="NormalWeb"/>
              <w:jc w:val="left"/>
              <w:rPr>
                <w:sz w:val="18"/>
                <w:szCs w:val="18"/>
              </w:rPr>
            </w:pPr>
            <w:r w:rsidRPr="0087487B">
              <w:rPr>
                <w:sz w:val="18"/>
                <w:szCs w:val="18"/>
              </w:rPr>
              <w:t>Hepato-toxicity</w:t>
            </w:r>
            <w:r w:rsidRPr="0087487B">
              <w:rPr>
                <w:sz w:val="18"/>
                <w:szCs w:val="18"/>
              </w:rPr>
              <w:br/>
              <w:t>Nephrotoxicity</w:t>
            </w:r>
            <w:r w:rsidRPr="0087487B">
              <w:rPr>
                <w:sz w:val="18"/>
                <w:szCs w:val="18"/>
              </w:rPr>
              <w:br/>
              <w:t>Coagulopathy (rare)</w:t>
            </w:r>
            <w:r w:rsidRPr="0087487B">
              <w:rPr>
                <w:sz w:val="18"/>
                <w:szCs w:val="18"/>
              </w:rPr>
              <w:br/>
              <w:t>Rash</w:t>
            </w:r>
          </w:p>
        </w:tc>
        <w:tc>
          <w:tcPr>
            <w:tcW w:w="0" w:type="auto"/>
            <w:hideMark/>
          </w:tcPr>
          <w:p w14:paraId="20DF4CA0" w14:textId="77777777" w:rsidR="00B313E8" w:rsidRPr="0087487B" w:rsidRDefault="00B313E8" w:rsidP="00314B37">
            <w:pPr>
              <w:pStyle w:val="NormalWeb"/>
              <w:jc w:val="left"/>
              <w:rPr>
                <w:sz w:val="18"/>
                <w:szCs w:val="18"/>
              </w:rPr>
            </w:pPr>
            <w:r w:rsidRPr="0087487B">
              <w:rPr>
                <w:sz w:val="18"/>
                <w:szCs w:val="18"/>
              </w:rPr>
              <w:t>Complete blood picture monthly</w:t>
            </w:r>
            <w:r w:rsidRPr="0087487B">
              <w:rPr>
                <w:sz w:val="18"/>
                <w:szCs w:val="18"/>
              </w:rPr>
              <w:br/>
            </w:r>
            <w:proofErr w:type="spellStart"/>
            <w:r w:rsidRPr="0087487B">
              <w:rPr>
                <w:sz w:val="18"/>
                <w:szCs w:val="18"/>
              </w:rPr>
              <w:t>Monthly</w:t>
            </w:r>
            <w:proofErr w:type="spellEnd"/>
            <w:r w:rsidRPr="0087487B">
              <w:rPr>
                <w:sz w:val="18"/>
                <w:szCs w:val="18"/>
              </w:rPr>
              <w:t xml:space="preserve"> liver function, renal </w:t>
            </w:r>
            <w:proofErr w:type="gramStart"/>
            <w:r w:rsidRPr="0087487B">
              <w:rPr>
                <w:sz w:val="18"/>
                <w:szCs w:val="18"/>
              </w:rPr>
              <w:t>function</w:t>
            </w:r>
            <w:proofErr w:type="gramEnd"/>
            <w:r w:rsidRPr="0087487B">
              <w:rPr>
                <w:sz w:val="18"/>
                <w:szCs w:val="18"/>
              </w:rPr>
              <w:t xml:space="preserve"> and electrolytes</w:t>
            </w:r>
            <w:r w:rsidRPr="0087487B">
              <w:rPr>
                <w:sz w:val="18"/>
                <w:szCs w:val="18"/>
              </w:rPr>
              <w:br/>
              <w:t>TSH: at least 3 monthly</w:t>
            </w:r>
          </w:p>
        </w:tc>
      </w:tr>
    </w:tbl>
    <w:p w14:paraId="395F6C79" w14:textId="77777777" w:rsidR="00B313E8" w:rsidRPr="0087487B" w:rsidRDefault="00B313E8" w:rsidP="00B313E8">
      <w:pPr>
        <w:divId w:val="448665177"/>
      </w:pPr>
    </w:p>
    <w:p w14:paraId="24DE3D74" w14:textId="79E7B29B" w:rsidR="00FF6DA4" w:rsidRPr="0087487B" w:rsidRDefault="00F605B4" w:rsidP="00FF6DA4">
      <w:pPr>
        <w:pStyle w:val="Heading2"/>
        <w:divId w:val="448665177"/>
        <w:rPr>
          <w:rFonts w:eastAsia="Times New Roman"/>
        </w:rPr>
      </w:pPr>
      <w:bookmarkStart w:id="9" w:name="_Hlk147997778"/>
      <w:r w:rsidRPr="0087487B">
        <w:rPr>
          <w:rFonts w:eastAsia="Times New Roman"/>
        </w:rPr>
        <w:t>Appendix A.4: MDR drugs in pregnancy</w:t>
      </w:r>
      <w:bookmarkEnd w:id="9"/>
    </w:p>
    <w:p w14:paraId="6868C7B8" w14:textId="77777777" w:rsidR="00FF6DA4" w:rsidRPr="0087487B" w:rsidRDefault="00FF6DA4" w:rsidP="00FF6DA4">
      <w:pPr>
        <w:divId w:val="448665177"/>
      </w:pPr>
    </w:p>
    <w:tbl>
      <w:tblPr>
        <w:tblStyle w:val="CDI-StandardTable"/>
        <w:tblW w:w="0" w:type="auto"/>
        <w:tblLook w:val="04A0" w:firstRow="1" w:lastRow="0" w:firstColumn="1" w:lastColumn="0" w:noHBand="0" w:noVBand="1"/>
        <w:tblDescription w:val="This table details the recommendations and concerns regarding TB treatment of pregnant people with the following medications: moxifloxacin or levofloxacin; bedaquiline; pretomanid; linezolid; clofazimine; cycloserine; amikacin; delamanid; ethambutol; pyrazinamide; and prothionamide or ethionamide."/>
      </w:tblPr>
      <w:tblGrid>
        <w:gridCol w:w="1206"/>
        <w:gridCol w:w="1062"/>
        <w:gridCol w:w="8198"/>
      </w:tblGrid>
      <w:tr w:rsidR="00FF6DA4" w:rsidRPr="0087487B" w14:paraId="2F228311" w14:textId="77777777" w:rsidTr="00FF6DA4">
        <w:trPr>
          <w:cnfStyle w:val="100000000000" w:firstRow="1" w:lastRow="0" w:firstColumn="0" w:lastColumn="0" w:oddVBand="0" w:evenVBand="0" w:oddHBand="0" w:evenHBand="0" w:firstRowFirstColumn="0" w:firstRowLastColumn="0" w:lastRowFirstColumn="0" w:lastRowLastColumn="0"/>
          <w:divId w:val="448665177"/>
        </w:trPr>
        <w:tc>
          <w:tcPr>
            <w:tcW w:w="0" w:type="auto"/>
            <w:hideMark/>
          </w:tcPr>
          <w:p w14:paraId="7CE84FC6" w14:textId="77777777" w:rsidR="00FF6DA4" w:rsidRPr="0087487B" w:rsidRDefault="00FF6DA4" w:rsidP="00314B37">
            <w:pPr>
              <w:pStyle w:val="NormalWeb"/>
              <w:jc w:val="left"/>
              <w:rPr>
                <w:sz w:val="18"/>
                <w:szCs w:val="18"/>
              </w:rPr>
            </w:pPr>
            <w:r w:rsidRPr="0087487B">
              <w:rPr>
                <w:sz w:val="18"/>
                <w:szCs w:val="18"/>
              </w:rPr>
              <w:t>Drug</w:t>
            </w:r>
          </w:p>
        </w:tc>
        <w:tc>
          <w:tcPr>
            <w:tcW w:w="1062" w:type="dxa"/>
            <w:hideMark/>
          </w:tcPr>
          <w:p w14:paraId="77494774" w14:textId="77777777" w:rsidR="00FF6DA4" w:rsidRPr="0087487B" w:rsidRDefault="00FF6DA4" w:rsidP="00314B37">
            <w:pPr>
              <w:pStyle w:val="NormalWeb"/>
              <w:rPr>
                <w:sz w:val="18"/>
                <w:szCs w:val="18"/>
              </w:rPr>
            </w:pPr>
            <w:proofErr w:type="spellStart"/>
            <w:r w:rsidRPr="0087487B">
              <w:rPr>
                <w:sz w:val="18"/>
                <w:szCs w:val="18"/>
              </w:rPr>
              <w:t>Category</w:t>
            </w:r>
            <w:r w:rsidRPr="0087487B">
              <w:rPr>
                <w:sz w:val="18"/>
                <w:szCs w:val="18"/>
                <w:vertAlign w:val="superscript"/>
              </w:rPr>
              <w:t>a</w:t>
            </w:r>
            <w:proofErr w:type="spellEnd"/>
          </w:p>
        </w:tc>
        <w:tc>
          <w:tcPr>
            <w:tcW w:w="8198" w:type="dxa"/>
            <w:hideMark/>
          </w:tcPr>
          <w:p w14:paraId="514715F7" w14:textId="77777777" w:rsidR="00FF6DA4" w:rsidRPr="0087487B" w:rsidRDefault="00FF6DA4" w:rsidP="00314B37">
            <w:pPr>
              <w:pStyle w:val="NormalWeb"/>
              <w:jc w:val="left"/>
              <w:rPr>
                <w:sz w:val="18"/>
                <w:szCs w:val="18"/>
              </w:rPr>
            </w:pPr>
            <w:r w:rsidRPr="0087487B">
              <w:rPr>
                <w:sz w:val="18"/>
                <w:szCs w:val="18"/>
              </w:rPr>
              <w:t>Comment</w:t>
            </w:r>
          </w:p>
        </w:tc>
      </w:tr>
      <w:tr w:rsidR="00FF6DA4" w:rsidRPr="0087487B" w14:paraId="555CDC08" w14:textId="77777777" w:rsidTr="00FF6DA4">
        <w:trPr>
          <w:divId w:val="448665177"/>
        </w:trPr>
        <w:tc>
          <w:tcPr>
            <w:tcW w:w="0" w:type="auto"/>
            <w:hideMark/>
          </w:tcPr>
          <w:p w14:paraId="5A0AF0F3" w14:textId="77777777" w:rsidR="00FF6DA4" w:rsidRPr="0087487B" w:rsidRDefault="00FF6DA4" w:rsidP="00314B37">
            <w:pPr>
              <w:pStyle w:val="NormalWeb"/>
              <w:jc w:val="left"/>
              <w:rPr>
                <w:sz w:val="18"/>
                <w:szCs w:val="18"/>
              </w:rPr>
            </w:pPr>
            <w:r w:rsidRPr="0087487B">
              <w:rPr>
                <w:sz w:val="18"/>
                <w:szCs w:val="18"/>
              </w:rPr>
              <w:t>Moxifloxacin</w:t>
            </w:r>
            <w:r w:rsidRPr="0087487B">
              <w:rPr>
                <w:sz w:val="18"/>
                <w:szCs w:val="18"/>
              </w:rPr>
              <w:br/>
              <w:t>Levofloxacin</w:t>
            </w:r>
          </w:p>
        </w:tc>
        <w:tc>
          <w:tcPr>
            <w:tcW w:w="1062" w:type="dxa"/>
            <w:hideMark/>
          </w:tcPr>
          <w:p w14:paraId="70CA88F2" w14:textId="77777777" w:rsidR="00FF6DA4" w:rsidRPr="0087487B" w:rsidRDefault="00FF6DA4" w:rsidP="00314B37">
            <w:pPr>
              <w:pStyle w:val="NormalWeb"/>
              <w:rPr>
                <w:sz w:val="18"/>
                <w:szCs w:val="18"/>
              </w:rPr>
            </w:pPr>
            <w:r w:rsidRPr="0087487B">
              <w:rPr>
                <w:sz w:val="18"/>
                <w:szCs w:val="18"/>
              </w:rPr>
              <w:t>C</w:t>
            </w:r>
          </w:p>
        </w:tc>
        <w:tc>
          <w:tcPr>
            <w:tcW w:w="8198" w:type="dxa"/>
            <w:hideMark/>
          </w:tcPr>
          <w:p w14:paraId="24F4909F" w14:textId="77777777" w:rsidR="00FF6DA4" w:rsidRPr="0087487B" w:rsidRDefault="00FF6DA4" w:rsidP="00314B37">
            <w:pPr>
              <w:pStyle w:val="NormalWeb"/>
              <w:jc w:val="left"/>
              <w:rPr>
                <w:sz w:val="18"/>
                <w:szCs w:val="18"/>
              </w:rPr>
            </w:pPr>
            <w:r w:rsidRPr="0087487B">
              <w:rPr>
                <w:sz w:val="18"/>
                <w:szCs w:val="18"/>
              </w:rPr>
              <w:t xml:space="preserve">Use with caution. Studies have not reported an increased risk of major birth defects with other quinolones; however, cartilage damage and arthropathies </w:t>
            </w:r>
            <w:proofErr w:type="gramStart"/>
            <w:r w:rsidRPr="0087487B">
              <w:rPr>
                <w:sz w:val="18"/>
                <w:szCs w:val="18"/>
              </w:rPr>
              <w:t>are reported</w:t>
            </w:r>
            <w:proofErr w:type="gramEnd"/>
            <w:r w:rsidRPr="0087487B">
              <w:rPr>
                <w:sz w:val="18"/>
                <w:szCs w:val="18"/>
              </w:rPr>
              <w:t xml:space="preserve"> in immature animals, raising concern over effects on foetal bone formation.</w:t>
            </w:r>
          </w:p>
        </w:tc>
      </w:tr>
      <w:tr w:rsidR="00FF6DA4" w:rsidRPr="0087487B" w14:paraId="120F6A1E" w14:textId="77777777" w:rsidTr="00FF6DA4">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6672088E" w14:textId="77777777" w:rsidR="00FF6DA4" w:rsidRPr="0087487B" w:rsidRDefault="00FF6DA4" w:rsidP="00314B37">
            <w:pPr>
              <w:pStyle w:val="NormalWeb"/>
              <w:jc w:val="left"/>
              <w:rPr>
                <w:sz w:val="18"/>
                <w:szCs w:val="18"/>
              </w:rPr>
            </w:pPr>
            <w:proofErr w:type="spellStart"/>
            <w:r w:rsidRPr="0087487B">
              <w:rPr>
                <w:sz w:val="18"/>
                <w:szCs w:val="18"/>
              </w:rPr>
              <w:t>Bedaquiline</w:t>
            </w:r>
            <w:proofErr w:type="spellEnd"/>
          </w:p>
        </w:tc>
        <w:tc>
          <w:tcPr>
            <w:tcW w:w="1062" w:type="dxa"/>
            <w:hideMark/>
          </w:tcPr>
          <w:p w14:paraId="3FBF0DC5" w14:textId="77777777" w:rsidR="00FF6DA4" w:rsidRPr="0087487B" w:rsidRDefault="00FF6DA4" w:rsidP="00314B37">
            <w:pPr>
              <w:pStyle w:val="NormalWeb"/>
              <w:rPr>
                <w:sz w:val="18"/>
                <w:szCs w:val="18"/>
              </w:rPr>
            </w:pPr>
            <w:r w:rsidRPr="0087487B">
              <w:rPr>
                <w:sz w:val="18"/>
                <w:szCs w:val="18"/>
              </w:rPr>
              <w:t>B</w:t>
            </w:r>
          </w:p>
        </w:tc>
        <w:tc>
          <w:tcPr>
            <w:tcW w:w="8198" w:type="dxa"/>
            <w:hideMark/>
          </w:tcPr>
          <w:p w14:paraId="1F8024C5" w14:textId="77777777" w:rsidR="00FF6DA4" w:rsidRPr="0087487B" w:rsidRDefault="00FF6DA4" w:rsidP="00314B37">
            <w:pPr>
              <w:pStyle w:val="NormalWeb"/>
              <w:jc w:val="left"/>
              <w:rPr>
                <w:sz w:val="18"/>
                <w:szCs w:val="18"/>
              </w:rPr>
            </w:pPr>
            <w:r w:rsidRPr="0087487B">
              <w:rPr>
                <w:sz w:val="18"/>
                <w:szCs w:val="18"/>
              </w:rPr>
              <w:t xml:space="preserve">No data available on use of this drug in pregnancy relating to the risk of birth defects, </w:t>
            </w:r>
            <w:proofErr w:type="gramStart"/>
            <w:r w:rsidRPr="0087487B">
              <w:rPr>
                <w:sz w:val="18"/>
                <w:szCs w:val="18"/>
              </w:rPr>
              <w:t>miscarriage</w:t>
            </w:r>
            <w:proofErr w:type="gramEnd"/>
            <w:r w:rsidRPr="0087487B">
              <w:rPr>
                <w:sz w:val="18"/>
                <w:szCs w:val="18"/>
              </w:rPr>
              <w:t xml:space="preserve"> or adverse foetal/maternal outcomes.</w:t>
            </w:r>
          </w:p>
        </w:tc>
      </w:tr>
      <w:tr w:rsidR="00FF6DA4" w:rsidRPr="0087487B" w14:paraId="417AECB8" w14:textId="77777777" w:rsidTr="00FF6DA4">
        <w:trPr>
          <w:divId w:val="448665177"/>
        </w:trPr>
        <w:tc>
          <w:tcPr>
            <w:tcW w:w="0" w:type="auto"/>
            <w:hideMark/>
          </w:tcPr>
          <w:p w14:paraId="7466BE7D" w14:textId="77777777" w:rsidR="00FF6DA4" w:rsidRPr="0087487B" w:rsidRDefault="00FF6DA4" w:rsidP="00314B37">
            <w:pPr>
              <w:pStyle w:val="NormalWeb"/>
              <w:jc w:val="left"/>
              <w:rPr>
                <w:sz w:val="18"/>
                <w:szCs w:val="18"/>
              </w:rPr>
            </w:pPr>
            <w:proofErr w:type="spellStart"/>
            <w:r w:rsidRPr="0087487B">
              <w:rPr>
                <w:sz w:val="18"/>
                <w:szCs w:val="18"/>
              </w:rPr>
              <w:t>Pretomanid</w:t>
            </w:r>
            <w:proofErr w:type="spellEnd"/>
          </w:p>
        </w:tc>
        <w:tc>
          <w:tcPr>
            <w:tcW w:w="1062" w:type="dxa"/>
            <w:hideMark/>
          </w:tcPr>
          <w:p w14:paraId="24A6A717" w14:textId="77777777" w:rsidR="00FF6DA4" w:rsidRPr="0087487B" w:rsidRDefault="00FF6DA4" w:rsidP="00314B37">
            <w:pPr>
              <w:rPr>
                <w:sz w:val="18"/>
                <w:szCs w:val="18"/>
              </w:rPr>
            </w:pPr>
          </w:p>
        </w:tc>
        <w:tc>
          <w:tcPr>
            <w:tcW w:w="8198" w:type="dxa"/>
            <w:hideMark/>
          </w:tcPr>
          <w:p w14:paraId="2864E391" w14:textId="77777777" w:rsidR="00FF6DA4" w:rsidRPr="0087487B" w:rsidRDefault="00FF6DA4" w:rsidP="00314B37">
            <w:pPr>
              <w:pStyle w:val="NormalWeb"/>
              <w:jc w:val="left"/>
              <w:rPr>
                <w:sz w:val="18"/>
                <w:szCs w:val="18"/>
              </w:rPr>
            </w:pPr>
            <w:r w:rsidRPr="0087487B">
              <w:rPr>
                <w:sz w:val="18"/>
                <w:szCs w:val="18"/>
              </w:rPr>
              <w:t>Not presently recommended for use in pregnancy</w:t>
            </w:r>
          </w:p>
        </w:tc>
      </w:tr>
      <w:tr w:rsidR="00FF6DA4" w:rsidRPr="0087487B" w14:paraId="05B10CCF" w14:textId="77777777" w:rsidTr="00FF6DA4">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23D82DC8" w14:textId="77777777" w:rsidR="00FF6DA4" w:rsidRPr="0087487B" w:rsidRDefault="00FF6DA4" w:rsidP="00314B37">
            <w:pPr>
              <w:pStyle w:val="NormalWeb"/>
              <w:jc w:val="left"/>
              <w:rPr>
                <w:sz w:val="18"/>
                <w:szCs w:val="18"/>
              </w:rPr>
            </w:pPr>
            <w:r w:rsidRPr="0087487B">
              <w:rPr>
                <w:sz w:val="18"/>
                <w:szCs w:val="18"/>
              </w:rPr>
              <w:lastRenderedPageBreak/>
              <w:t>Linezolid</w:t>
            </w:r>
          </w:p>
        </w:tc>
        <w:tc>
          <w:tcPr>
            <w:tcW w:w="1062" w:type="dxa"/>
            <w:hideMark/>
          </w:tcPr>
          <w:p w14:paraId="37610A74" w14:textId="77777777" w:rsidR="00FF6DA4" w:rsidRPr="0087487B" w:rsidRDefault="00FF6DA4" w:rsidP="00314B37">
            <w:pPr>
              <w:pStyle w:val="NormalWeb"/>
              <w:rPr>
                <w:sz w:val="18"/>
                <w:szCs w:val="18"/>
              </w:rPr>
            </w:pPr>
            <w:r w:rsidRPr="0087487B">
              <w:rPr>
                <w:sz w:val="18"/>
                <w:szCs w:val="18"/>
              </w:rPr>
              <w:t>C</w:t>
            </w:r>
          </w:p>
        </w:tc>
        <w:tc>
          <w:tcPr>
            <w:tcW w:w="8198" w:type="dxa"/>
            <w:hideMark/>
          </w:tcPr>
          <w:p w14:paraId="20DAD1D8" w14:textId="77777777" w:rsidR="00FF6DA4" w:rsidRPr="0087487B" w:rsidRDefault="00FF6DA4" w:rsidP="00314B37">
            <w:pPr>
              <w:pStyle w:val="NormalWeb"/>
              <w:jc w:val="left"/>
              <w:rPr>
                <w:sz w:val="18"/>
                <w:szCs w:val="18"/>
              </w:rPr>
            </w:pPr>
            <w:r w:rsidRPr="0087487B">
              <w:rPr>
                <w:sz w:val="18"/>
                <w:szCs w:val="18"/>
              </w:rPr>
              <w:t>No adequate studies of safety in pregnancy.</w:t>
            </w:r>
          </w:p>
        </w:tc>
      </w:tr>
      <w:tr w:rsidR="00FF6DA4" w:rsidRPr="0087487B" w14:paraId="4DE93346" w14:textId="77777777" w:rsidTr="00FF6DA4">
        <w:trPr>
          <w:divId w:val="448665177"/>
        </w:trPr>
        <w:tc>
          <w:tcPr>
            <w:tcW w:w="0" w:type="auto"/>
            <w:hideMark/>
          </w:tcPr>
          <w:p w14:paraId="744523A8" w14:textId="77777777" w:rsidR="00FF6DA4" w:rsidRPr="0087487B" w:rsidRDefault="00FF6DA4" w:rsidP="00314B37">
            <w:pPr>
              <w:pStyle w:val="NormalWeb"/>
              <w:jc w:val="left"/>
              <w:rPr>
                <w:sz w:val="18"/>
                <w:szCs w:val="18"/>
              </w:rPr>
            </w:pPr>
            <w:r w:rsidRPr="0087487B">
              <w:rPr>
                <w:sz w:val="18"/>
                <w:szCs w:val="18"/>
              </w:rPr>
              <w:t>Clofazimine</w:t>
            </w:r>
          </w:p>
        </w:tc>
        <w:tc>
          <w:tcPr>
            <w:tcW w:w="1062" w:type="dxa"/>
            <w:hideMark/>
          </w:tcPr>
          <w:p w14:paraId="1B75E8A8" w14:textId="77777777" w:rsidR="00FF6DA4" w:rsidRPr="0087487B" w:rsidRDefault="00FF6DA4" w:rsidP="00314B37">
            <w:pPr>
              <w:pStyle w:val="NormalWeb"/>
              <w:rPr>
                <w:sz w:val="18"/>
                <w:szCs w:val="18"/>
              </w:rPr>
            </w:pPr>
            <w:r w:rsidRPr="0087487B">
              <w:rPr>
                <w:sz w:val="18"/>
                <w:szCs w:val="18"/>
              </w:rPr>
              <w:t>C</w:t>
            </w:r>
          </w:p>
        </w:tc>
        <w:tc>
          <w:tcPr>
            <w:tcW w:w="8198" w:type="dxa"/>
            <w:hideMark/>
          </w:tcPr>
          <w:p w14:paraId="156B3BFE" w14:textId="77777777" w:rsidR="00FF6DA4" w:rsidRPr="0087487B" w:rsidRDefault="00FF6DA4" w:rsidP="00314B37">
            <w:pPr>
              <w:pStyle w:val="NormalWeb"/>
              <w:jc w:val="left"/>
              <w:rPr>
                <w:sz w:val="18"/>
                <w:szCs w:val="18"/>
              </w:rPr>
            </w:pPr>
            <w:r w:rsidRPr="0087487B">
              <w:rPr>
                <w:sz w:val="18"/>
                <w:szCs w:val="18"/>
              </w:rPr>
              <w:t>Infants born with deeply pigmented skin that fades over 1 year.</w:t>
            </w:r>
          </w:p>
        </w:tc>
      </w:tr>
      <w:tr w:rsidR="00FF6DA4" w:rsidRPr="0087487B" w14:paraId="7587E107" w14:textId="77777777" w:rsidTr="00FF6DA4">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0660E085" w14:textId="77777777" w:rsidR="00FF6DA4" w:rsidRPr="0087487B" w:rsidRDefault="00FF6DA4" w:rsidP="00314B37">
            <w:pPr>
              <w:pStyle w:val="NormalWeb"/>
              <w:jc w:val="left"/>
              <w:rPr>
                <w:sz w:val="18"/>
                <w:szCs w:val="18"/>
              </w:rPr>
            </w:pPr>
            <w:proofErr w:type="spellStart"/>
            <w:r w:rsidRPr="0087487B">
              <w:rPr>
                <w:sz w:val="18"/>
                <w:szCs w:val="18"/>
              </w:rPr>
              <w:t>Cycloserine</w:t>
            </w:r>
            <w:proofErr w:type="spellEnd"/>
          </w:p>
        </w:tc>
        <w:tc>
          <w:tcPr>
            <w:tcW w:w="1062" w:type="dxa"/>
            <w:hideMark/>
          </w:tcPr>
          <w:p w14:paraId="4D920ADC" w14:textId="77777777" w:rsidR="00FF6DA4" w:rsidRPr="0087487B" w:rsidRDefault="00FF6DA4" w:rsidP="00314B37">
            <w:pPr>
              <w:pStyle w:val="NormalWeb"/>
              <w:rPr>
                <w:sz w:val="18"/>
                <w:szCs w:val="18"/>
              </w:rPr>
            </w:pPr>
            <w:r w:rsidRPr="0087487B">
              <w:rPr>
                <w:sz w:val="18"/>
                <w:szCs w:val="18"/>
              </w:rPr>
              <w:t>C</w:t>
            </w:r>
          </w:p>
        </w:tc>
        <w:tc>
          <w:tcPr>
            <w:tcW w:w="8198" w:type="dxa"/>
            <w:hideMark/>
          </w:tcPr>
          <w:p w14:paraId="76B76AC4" w14:textId="77777777" w:rsidR="00FF6DA4" w:rsidRPr="0087487B" w:rsidRDefault="00FF6DA4" w:rsidP="00314B37">
            <w:pPr>
              <w:pStyle w:val="NormalWeb"/>
              <w:jc w:val="left"/>
              <w:rPr>
                <w:sz w:val="18"/>
                <w:szCs w:val="18"/>
              </w:rPr>
            </w:pPr>
            <w:r w:rsidRPr="0087487B">
              <w:rPr>
                <w:sz w:val="18"/>
                <w:szCs w:val="18"/>
              </w:rPr>
              <w:t>Animal studies have not shown evidence of teratogenicity. There are no controlled data in human pregnancy.</w:t>
            </w:r>
          </w:p>
        </w:tc>
      </w:tr>
      <w:tr w:rsidR="00FF6DA4" w:rsidRPr="0087487B" w14:paraId="34B1E200" w14:textId="77777777" w:rsidTr="00FF6DA4">
        <w:trPr>
          <w:divId w:val="448665177"/>
        </w:trPr>
        <w:tc>
          <w:tcPr>
            <w:tcW w:w="0" w:type="auto"/>
            <w:hideMark/>
          </w:tcPr>
          <w:p w14:paraId="78D0C53F" w14:textId="77777777" w:rsidR="00FF6DA4" w:rsidRPr="0087487B" w:rsidRDefault="00FF6DA4" w:rsidP="00314B37">
            <w:pPr>
              <w:pStyle w:val="NormalWeb"/>
              <w:jc w:val="left"/>
              <w:rPr>
                <w:sz w:val="18"/>
                <w:szCs w:val="18"/>
              </w:rPr>
            </w:pPr>
            <w:r w:rsidRPr="0087487B">
              <w:rPr>
                <w:sz w:val="18"/>
                <w:szCs w:val="18"/>
              </w:rPr>
              <w:t>Amikacin</w:t>
            </w:r>
          </w:p>
        </w:tc>
        <w:tc>
          <w:tcPr>
            <w:tcW w:w="1062" w:type="dxa"/>
            <w:hideMark/>
          </w:tcPr>
          <w:p w14:paraId="7C2BFDE4" w14:textId="77777777" w:rsidR="00FF6DA4" w:rsidRPr="0087487B" w:rsidRDefault="00FF6DA4" w:rsidP="00314B37">
            <w:pPr>
              <w:pStyle w:val="NormalWeb"/>
              <w:rPr>
                <w:sz w:val="18"/>
                <w:szCs w:val="18"/>
              </w:rPr>
            </w:pPr>
            <w:r w:rsidRPr="0087487B">
              <w:rPr>
                <w:sz w:val="18"/>
                <w:szCs w:val="18"/>
              </w:rPr>
              <w:t>D</w:t>
            </w:r>
          </w:p>
        </w:tc>
        <w:tc>
          <w:tcPr>
            <w:tcW w:w="8198" w:type="dxa"/>
            <w:hideMark/>
          </w:tcPr>
          <w:p w14:paraId="3EB80558" w14:textId="77777777" w:rsidR="00FF6DA4" w:rsidRPr="0087487B" w:rsidRDefault="00FF6DA4" w:rsidP="00314B37">
            <w:pPr>
              <w:pStyle w:val="NormalWeb"/>
              <w:jc w:val="left"/>
              <w:rPr>
                <w:sz w:val="18"/>
                <w:szCs w:val="18"/>
              </w:rPr>
            </w:pPr>
            <w:r w:rsidRPr="0087487B">
              <w:rPr>
                <w:sz w:val="18"/>
                <w:szCs w:val="18"/>
              </w:rPr>
              <w:t>Avoid use. Ototoxicity and foetal malformation risk.</w:t>
            </w:r>
          </w:p>
        </w:tc>
      </w:tr>
      <w:tr w:rsidR="00FF6DA4" w:rsidRPr="0087487B" w14:paraId="5A41FE1E" w14:textId="77777777" w:rsidTr="00FF6DA4">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2737FC75" w14:textId="77777777" w:rsidR="00FF6DA4" w:rsidRPr="0087487B" w:rsidRDefault="00FF6DA4" w:rsidP="00314B37">
            <w:pPr>
              <w:pStyle w:val="NormalWeb"/>
              <w:jc w:val="left"/>
              <w:rPr>
                <w:sz w:val="18"/>
                <w:szCs w:val="18"/>
              </w:rPr>
            </w:pPr>
            <w:proofErr w:type="spellStart"/>
            <w:r w:rsidRPr="0087487B">
              <w:rPr>
                <w:sz w:val="18"/>
                <w:szCs w:val="18"/>
              </w:rPr>
              <w:t>Delamanid</w:t>
            </w:r>
            <w:proofErr w:type="spellEnd"/>
          </w:p>
        </w:tc>
        <w:tc>
          <w:tcPr>
            <w:tcW w:w="1062" w:type="dxa"/>
            <w:hideMark/>
          </w:tcPr>
          <w:p w14:paraId="29DCE1E8" w14:textId="77777777" w:rsidR="00FF6DA4" w:rsidRPr="0087487B" w:rsidRDefault="00FF6DA4" w:rsidP="00314B37">
            <w:pPr>
              <w:rPr>
                <w:sz w:val="18"/>
                <w:szCs w:val="18"/>
              </w:rPr>
            </w:pPr>
          </w:p>
        </w:tc>
        <w:tc>
          <w:tcPr>
            <w:tcW w:w="8198" w:type="dxa"/>
            <w:hideMark/>
          </w:tcPr>
          <w:p w14:paraId="19D34D1D" w14:textId="77777777" w:rsidR="00FF6DA4" w:rsidRPr="0087487B" w:rsidRDefault="00FF6DA4" w:rsidP="00314B37">
            <w:pPr>
              <w:pStyle w:val="NormalWeb"/>
              <w:jc w:val="left"/>
              <w:rPr>
                <w:sz w:val="18"/>
                <w:szCs w:val="18"/>
              </w:rPr>
            </w:pPr>
            <w:r w:rsidRPr="0087487B">
              <w:rPr>
                <w:sz w:val="18"/>
                <w:szCs w:val="18"/>
              </w:rPr>
              <w:t xml:space="preserve">Should </w:t>
            </w:r>
            <w:proofErr w:type="gramStart"/>
            <w:r w:rsidRPr="0087487B">
              <w:rPr>
                <w:sz w:val="18"/>
                <w:szCs w:val="18"/>
              </w:rPr>
              <w:t>be avoided</w:t>
            </w:r>
            <w:proofErr w:type="gramEnd"/>
            <w:r w:rsidRPr="0087487B">
              <w:rPr>
                <w:sz w:val="18"/>
                <w:szCs w:val="18"/>
              </w:rPr>
              <w:t xml:space="preserve"> until more data is available. Animal studies do not show evidence of teratogenicity</w:t>
            </w:r>
          </w:p>
        </w:tc>
      </w:tr>
      <w:tr w:rsidR="00FF6DA4" w:rsidRPr="0087487B" w14:paraId="68513533" w14:textId="77777777" w:rsidTr="00FF6DA4">
        <w:trPr>
          <w:divId w:val="448665177"/>
        </w:trPr>
        <w:tc>
          <w:tcPr>
            <w:tcW w:w="0" w:type="auto"/>
            <w:hideMark/>
          </w:tcPr>
          <w:p w14:paraId="30BEA1A9" w14:textId="77777777" w:rsidR="00FF6DA4" w:rsidRPr="0087487B" w:rsidRDefault="00FF6DA4" w:rsidP="00314B37">
            <w:pPr>
              <w:pStyle w:val="NormalWeb"/>
              <w:jc w:val="left"/>
              <w:rPr>
                <w:sz w:val="18"/>
                <w:szCs w:val="18"/>
              </w:rPr>
            </w:pPr>
            <w:r w:rsidRPr="0087487B">
              <w:rPr>
                <w:sz w:val="18"/>
                <w:szCs w:val="18"/>
              </w:rPr>
              <w:t>Ethambutol</w:t>
            </w:r>
          </w:p>
        </w:tc>
        <w:tc>
          <w:tcPr>
            <w:tcW w:w="1062" w:type="dxa"/>
            <w:hideMark/>
          </w:tcPr>
          <w:p w14:paraId="1C4CA54A" w14:textId="77777777" w:rsidR="00FF6DA4" w:rsidRPr="0087487B" w:rsidRDefault="00FF6DA4" w:rsidP="00314B37">
            <w:pPr>
              <w:pStyle w:val="NormalWeb"/>
              <w:rPr>
                <w:sz w:val="18"/>
                <w:szCs w:val="18"/>
              </w:rPr>
            </w:pPr>
            <w:r w:rsidRPr="0087487B">
              <w:rPr>
                <w:sz w:val="18"/>
                <w:szCs w:val="18"/>
              </w:rPr>
              <w:t>B</w:t>
            </w:r>
          </w:p>
        </w:tc>
        <w:tc>
          <w:tcPr>
            <w:tcW w:w="8198" w:type="dxa"/>
            <w:hideMark/>
          </w:tcPr>
          <w:p w14:paraId="436DDA01" w14:textId="77777777" w:rsidR="00FF6DA4" w:rsidRPr="0087487B" w:rsidRDefault="00FF6DA4" w:rsidP="00314B37">
            <w:pPr>
              <w:pStyle w:val="NormalWeb"/>
              <w:jc w:val="left"/>
              <w:rPr>
                <w:sz w:val="18"/>
                <w:szCs w:val="18"/>
              </w:rPr>
            </w:pPr>
            <w:r w:rsidRPr="0087487B">
              <w:rPr>
                <w:sz w:val="18"/>
                <w:szCs w:val="18"/>
              </w:rPr>
              <w:t>Considered safe for use in pregnancy</w:t>
            </w:r>
          </w:p>
        </w:tc>
      </w:tr>
      <w:tr w:rsidR="00FF6DA4" w:rsidRPr="0087487B" w14:paraId="3F72DDE9" w14:textId="77777777" w:rsidTr="00FF6DA4">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0E72C165" w14:textId="77777777" w:rsidR="00FF6DA4" w:rsidRPr="0087487B" w:rsidRDefault="00FF6DA4" w:rsidP="00314B37">
            <w:pPr>
              <w:pStyle w:val="NormalWeb"/>
              <w:jc w:val="left"/>
              <w:rPr>
                <w:sz w:val="18"/>
                <w:szCs w:val="18"/>
              </w:rPr>
            </w:pPr>
            <w:r w:rsidRPr="0087487B">
              <w:rPr>
                <w:sz w:val="18"/>
                <w:szCs w:val="18"/>
              </w:rPr>
              <w:t>Pyrazinamide</w:t>
            </w:r>
          </w:p>
        </w:tc>
        <w:tc>
          <w:tcPr>
            <w:tcW w:w="1062" w:type="dxa"/>
            <w:hideMark/>
          </w:tcPr>
          <w:p w14:paraId="6371E754" w14:textId="77777777" w:rsidR="00FF6DA4" w:rsidRPr="0087487B" w:rsidRDefault="00FF6DA4" w:rsidP="00314B37">
            <w:pPr>
              <w:pStyle w:val="NormalWeb"/>
              <w:rPr>
                <w:sz w:val="18"/>
                <w:szCs w:val="18"/>
              </w:rPr>
            </w:pPr>
            <w:r w:rsidRPr="0087487B">
              <w:rPr>
                <w:sz w:val="18"/>
                <w:szCs w:val="18"/>
              </w:rPr>
              <w:t>C</w:t>
            </w:r>
          </w:p>
        </w:tc>
        <w:tc>
          <w:tcPr>
            <w:tcW w:w="8198" w:type="dxa"/>
            <w:hideMark/>
          </w:tcPr>
          <w:p w14:paraId="23C45EBA" w14:textId="77777777" w:rsidR="00FF6DA4" w:rsidRPr="0087487B" w:rsidRDefault="00FF6DA4" w:rsidP="00314B37">
            <w:pPr>
              <w:pStyle w:val="NormalWeb"/>
              <w:jc w:val="left"/>
              <w:rPr>
                <w:sz w:val="18"/>
                <w:szCs w:val="18"/>
              </w:rPr>
            </w:pPr>
            <w:r w:rsidRPr="0087487B">
              <w:rPr>
                <w:sz w:val="18"/>
                <w:szCs w:val="18"/>
              </w:rPr>
              <w:t>Safe use in pregnancy supported by most studies.</w:t>
            </w:r>
          </w:p>
        </w:tc>
      </w:tr>
      <w:tr w:rsidR="00FF6DA4" w:rsidRPr="0087487B" w14:paraId="1A0F1F0B" w14:textId="77777777" w:rsidTr="00FF6DA4">
        <w:trPr>
          <w:divId w:val="448665177"/>
        </w:trPr>
        <w:tc>
          <w:tcPr>
            <w:tcW w:w="0" w:type="auto"/>
            <w:hideMark/>
          </w:tcPr>
          <w:p w14:paraId="34B81367" w14:textId="77777777" w:rsidR="00FF6DA4" w:rsidRPr="0087487B" w:rsidRDefault="00FF6DA4" w:rsidP="00314B37">
            <w:pPr>
              <w:pStyle w:val="NormalWeb"/>
              <w:jc w:val="left"/>
              <w:rPr>
                <w:sz w:val="18"/>
                <w:szCs w:val="18"/>
              </w:rPr>
            </w:pPr>
            <w:proofErr w:type="spellStart"/>
            <w:r w:rsidRPr="0087487B">
              <w:rPr>
                <w:sz w:val="18"/>
                <w:szCs w:val="18"/>
              </w:rPr>
              <w:t>Prothionamide</w:t>
            </w:r>
            <w:proofErr w:type="spellEnd"/>
            <w:r w:rsidRPr="0087487B">
              <w:rPr>
                <w:sz w:val="18"/>
                <w:szCs w:val="18"/>
              </w:rPr>
              <w:br/>
              <w:t>Ethionamide</w:t>
            </w:r>
          </w:p>
        </w:tc>
        <w:tc>
          <w:tcPr>
            <w:tcW w:w="1062" w:type="dxa"/>
            <w:hideMark/>
          </w:tcPr>
          <w:p w14:paraId="14CD3581" w14:textId="77777777" w:rsidR="00FF6DA4" w:rsidRPr="0087487B" w:rsidRDefault="00FF6DA4" w:rsidP="00314B37">
            <w:pPr>
              <w:pStyle w:val="NormalWeb"/>
              <w:rPr>
                <w:sz w:val="18"/>
                <w:szCs w:val="18"/>
              </w:rPr>
            </w:pPr>
            <w:r w:rsidRPr="0087487B">
              <w:rPr>
                <w:sz w:val="18"/>
                <w:szCs w:val="18"/>
              </w:rPr>
              <w:t>C</w:t>
            </w:r>
          </w:p>
        </w:tc>
        <w:tc>
          <w:tcPr>
            <w:tcW w:w="8198" w:type="dxa"/>
            <w:hideMark/>
          </w:tcPr>
          <w:p w14:paraId="1F8A5C99" w14:textId="77777777" w:rsidR="00FF6DA4" w:rsidRPr="0087487B" w:rsidRDefault="00FF6DA4" w:rsidP="00314B37">
            <w:pPr>
              <w:pStyle w:val="NormalWeb"/>
              <w:jc w:val="left"/>
              <w:rPr>
                <w:sz w:val="18"/>
                <w:szCs w:val="18"/>
              </w:rPr>
            </w:pPr>
            <w:r w:rsidRPr="0087487B">
              <w:rPr>
                <w:sz w:val="18"/>
                <w:szCs w:val="18"/>
              </w:rPr>
              <w:t xml:space="preserve">Avoid use. Teratogenic effects </w:t>
            </w:r>
            <w:proofErr w:type="gramStart"/>
            <w:r w:rsidRPr="0087487B">
              <w:rPr>
                <w:sz w:val="18"/>
                <w:szCs w:val="18"/>
              </w:rPr>
              <w:t>observed</w:t>
            </w:r>
            <w:proofErr w:type="gramEnd"/>
            <w:r w:rsidRPr="0087487B">
              <w:rPr>
                <w:sz w:val="18"/>
                <w:szCs w:val="18"/>
              </w:rPr>
              <w:t xml:space="preserve"> in animal studies. Worsens nausea due to pregnancy</w:t>
            </w:r>
          </w:p>
        </w:tc>
      </w:tr>
    </w:tbl>
    <w:p w14:paraId="35DE1BD3" w14:textId="5156BCE2" w:rsidR="00FF6DA4" w:rsidRPr="0087487B" w:rsidRDefault="00FF6DA4" w:rsidP="00FF6DA4">
      <w:pPr>
        <w:pStyle w:val="CDIfootnotes"/>
        <w:divId w:val="448665177"/>
      </w:pPr>
      <w:proofErr w:type="gramStart"/>
      <w:r w:rsidRPr="0087487B">
        <w:t>a</w:t>
      </w:r>
      <w:proofErr w:type="gramEnd"/>
      <w:r w:rsidRPr="0087487B">
        <w:tab/>
        <w:t>FDA pregnancy categories: A: human studies show no risk; B: animal studies show no risk, no human studies; C: animal studies show risk, no human studies; D: human studies show risk.</w:t>
      </w:r>
    </w:p>
    <w:p w14:paraId="0659D2E7" w14:textId="707439E6" w:rsidR="00F605B4" w:rsidRPr="0087487B" w:rsidRDefault="00F605B4">
      <w:pPr>
        <w:pStyle w:val="Heading2"/>
        <w:divId w:val="448665177"/>
        <w:rPr>
          <w:rFonts w:eastAsia="Times New Roman"/>
        </w:rPr>
      </w:pPr>
      <w:r w:rsidRPr="0087487B">
        <w:rPr>
          <w:rFonts w:eastAsia="Times New Roman"/>
        </w:rPr>
        <w:t xml:space="preserve">Appendix A.5: MDR drugs in liver disease </w:t>
      </w:r>
    </w:p>
    <w:tbl>
      <w:tblPr>
        <w:tblStyle w:val="CDI-StandardTable"/>
        <w:tblW w:w="0" w:type="auto"/>
        <w:tblLook w:val="04A0" w:firstRow="1" w:lastRow="0" w:firstColumn="1" w:lastColumn="0" w:noHBand="0" w:noVBand="1"/>
        <w:tblDescription w:val="This table details the recommendations and concerns regarding TB treatment of people with liver disease, for the following medications: moxifloxacin/levofloxacin; bedaquiline; pretomanid; linezolid; clofazimine; cycloserine; amikacin; prothionamide/ethionamide; pyrazinamide; and high dose isoniazid."/>
      </w:tblPr>
      <w:tblGrid>
        <w:gridCol w:w="2206"/>
        <w:gridCol w:w="8260"/>
      </w:tblGrid>
      <w:tr w:rsidR="00D76F80" w:rsidRPr="0087487B" w14:paraId="53A2F21B" w14:textId="77777777" w:rsidTr="00D76F80">
        <w:trPr>
          <w:cnfStyle w:val="100000000000" w:firstRow="1" w:lastRow="0" w:firstColumn="0" w:lastColumn="0" w:oddVBand="0" w:evenVBand="0" w:oddHBand="0" w:evenHBand="0" w:firstRowFirstColumn="0" w:firstRowLastColumn="0" w:lastRowFirstColumn="0" w:lastRowLastColumn="0"/>
          <w:divId w:val="448665177"/>
        </w:trPr>
        <w:tc>
          <w:tcPr>
            <w:tcW w:w="0" w:type="auto"/>
            <w:hideMark/>
          </w:tcPr>
          <w:p w14:paraId="6ED09C46" w14:textId="77777777" w:rsidR="00D76F80" w:rsidRPr="0087487B" w:rsidRDefault="00D76F80" w:rsidP="00314B37">
            <w:pPr>
              <w:pStyle w:val="NormalWeb"/>
              <w:jc w:val="left"/>
              <w:rPr>
                <w:sz w:val="18"/>
                <w:szCs w:val="18"/>
              </w:rPr>
            </w:pPr>
            <w:r w:rsidRPr="0087487B">
              <w:rPr>
                <w:sz w:val="18"/>
                <w:szCs w:val="18"/>
              </w:rPr>
              <w:t>Drug</w:t>
            </w:r>
          </w:p>
        </w:tc>
        <w:tc>
          <w:tcPr>
            <w:tcW w:w="0" w:type="auto"/>
            <w:hideMark/>
          </w:tcPr>
          <w:p w14:paraId="54080B36" w14:textId="77777777" w:rsidR="00D76F80" w:rsidRPr="0087487B" w:rsidRDefault="00D76F80" w:rsidP="00314B37">
            <w:pPr>
              <w:pStyle w:val="NormalWeb"/>
              <w:jc w:val="left"/>
              <w:rPr>
                <w:sz w:val="18"/>
                <w:szCs w:val="18"/>
              </w:rPr>
            </w:pPr>
            <w:r w:rsidRPr="0087487B">
              <w:rPr>
                <w:sz w:val="18"/>
                <w:szCs w:val="18"/>
              </w:rPr>
              <w:t>Hepato-toxicity risk</w:t>
            </w:r>
          </w:p>
        </w:tc>
      </w:tr>
      <w:tr w:rsidR="00D76F80" w:rsidRPr="0087487B" w14:paraId="39353A59" w14:textId="77777777" w:rsidTr="00D76F80">
        <w:trPr>
          <w:divId w:val="448665177"/>
        </w:trPr>
        <w:tc>
          <w:tcPr>
            <w:tcW w:w="0" w:type="auto"/>
            <w:hideMark/>
          </w:tcPr>
          <w:p w14:paraId="2D2EC755" w14:textId="77777777" w:rsidR="00D76F80" w:rsidRPr="0087487B" w:rsidRDefault="00D76F80" w:rsidP="00314B37">
            <w:pPr>
              <w:pStyle w:val="NormalWeb"/>
              <w:jc w:val="left"/>
              <w:rPr>
                <w:sz w:val="18"/>
                <w:szCs w:val="18"/>
              </w:rPr>
            </w:pPr>
            <w:r w:rsidRPr="0087487B">
              <w:rPr>
                <w:sz w:val="18"/>
                <w:szCs w:val="18"/>
              </w:rPr>
              <w:t>Moxifloxacin/levofloxacin</w:t>
            </w:r>
          </w:p>
        </w:tc>
        <w:tc>
          <w:tcPr>
            <w:tcW w:w="0" w:type="auto"/>
            <w:hideMark/>
          </w:tcPr>
          <w:p w14:paraId="76A1D354" w14:textId="77777777" w:rsidR="00D76F80" w:rsidRPr="0087487B" w:rsidRDefault="00D76F80" w:rsidP="00314B37">
            <w:pPr>
              <w:pStyle w:val="NormalWeb"/>
              <w:jc w:val="left"/>
              <w:rPr>
                <w:sz w:val="18"/>
                <w:szCs w:val="18"/>
              </w:rPr>
            </w:pPr>
            <w:r w:rsidRPr="0087487B">
              <w:rPr>
                <w:sz w:val="18"/>
                <w:szCs w:val="18"/>
              </w:rPr>
              <w:t xml:space="preserve">Fluoroquinolones are </w:t>
            </w:r>
            <w:proofErr w:type="gramStart"/>
            <w:r w:rsidRPr="0087487B">
              <w:rPr>
                <w:sz w:val="18"/>
                <w:szCs w:val="18"/>
              </w:rPr>
              <w:t>generally considered</w:t>
            </w:r>
            <w:proofErr w:type="gramEnd"/>
            <w:r w:rsidRPr="0087487B">
              <w:rPr>
                <w:sz w:val="18"/>
                <w:szCs w:val="18"/>
              </w:rPr>
              <w:t xml:space="preserve"> ‘liver friendly’ but are occasionally associated with hepato-toxicity.</w:t>
            </w:r>
          </w:p>
        </w:tc>
      </w:tr>
      <w:tr w:rsidR="00D76F80" w:rsidRPr="0087487B" w14:paraId="5339EADA" w14:textId="77777777" w:rsidTr="00D76F80">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4A0C337C" w14:textId="77777777" w:rsidR="00D76F80" w:rsidRPr="0087487B" w:rsidRDefault="00D76F80" w:rsidP="00314B37">
            <w:pPr>
              <w:pStyle w:val="NormalWeb"/>
              <w:jc w:val="left"/>
              <w:rPr>
                <w:sz w:val="18"/>
                <w:szCs w:val="18"/>
              </w:rPr>
            </w:pPr>
            <w:proofErr w:type="spellStart"/>
            <w:r w:rsidRPr="0087487B">
              <w:rPr>
                <w:sz w:val="18"/>
                <w:szCs w:val="18"/>
              </w:rPr>
              <w:t>Bedaquiline</w:t>
            </w:r>
            <w:proofErr w:type="spellEnd"/>
          </w:p>
        </w:tc>
        <w:tc>
          <w:tcPr>
            <w:tcW w:w="0" w:type="auto"/>
            <w:hideMark/>
          </w:tcPr>
          <w:p w14:paraId="511FFD01" w14:textId="77777777" w:rsidR="00D76F80" w:rsidRPr="0087487B" w:rsidRDefault="00D76F80" w:rsidP="00314B37">
            <w:pPr>
              <w:pStyle w:val="NormalWeb"/>
              <w:jc w:val="left"/>
              <w:rPr>
                <w:sz w:val="18"/>
                <w:szCs w:val="18"/>
              </w:rPr>
            </w:pPr>
            <w:proofErr w:type="spellStart"/>
            <w:r w:rsidRPr="0087487B">
              <w:rPr>
                <w:sz w:val="18"/>
                <w:szCs w:val="18"/>
              </w:rPr>
              <w:t>Bedaquiline</w:t>
            </w:r>
            <w:proofErr w:type="spellEnd"/>
            <w:r w:rsidRPr="0087487B">
              <w:rPr>
                <w:sz w:val="18"/>
                <w:szCs w:val="18"/>
              </w:rPr>
              <w:t xml:space="preserve"> possibly caused serious liver toxicity in a small number of patients in the Phase 2 </w:t>
            </w:r>
            <w:proofErr w:type="spellStart"/>
            <w:proofErr w:type="gramStart"/>
            <w:r w:rsidRPr="0087487B">
              <w:rPr>
                <w:sz w:val="18"/>
                <w:szCs w:val="18"/>
              </w:rPr>
              <w:t>studies.</w:t>
            </w:r>
            <w:r w:rsidRPr="0087487B">
              <w:rPr>
                <w:sz w:val="18"/>
                <w:szCs w:val="18"/>
                <w:vertAlign w:val="superscript"/>
              </w:rPr>
              <w:t>a</w:t>
            </w:r>
            <w:proofErr w:type="spellEnd"/>
            <w:proofErr w:type="gramEnd"/>
            <w:r w:rsidRPr="0087487B">
              <w:rPr>
                <w:sz w:val="18"/>
                <w:szCs w:val="18"/>
              </w:rPr>
              <w:br/>
              <w:t xml:space="preserve">It should be used with caution in those with pre-existing liver disease particularly due to its long </w:t>
            </w:r>
            <w:proofErr w:type="spellStart"/>
            <w:r w:rsidRPr="0087487B">
              <w:rPr>
                <w:sz w:val="18"/>
                <w:szCs w:val="18"/>
              </w:rPr>
              <w:t>half life</w:t>
            </w:r>
            <w:proofErr w:type="spellEnd"/>
            <w:r w:rsidRPr="0087487B">
              <w:rPr>
                <w:sz w:val="18"/>
                <w:szCs w:val="18"/>
              </w:rPr>
              <w:t>.</w:t>
            </w:r>
          </w:p>
        </w:tc>
      </w:tr>
      <w:tr w:rsidR="00D76F80" w:rsidRPr="0087487B" w14:paraId="22EA4E27" w14:textId="77777777" w:rsidTr="00D76F80">
        <w:trPr>
          <w:divId w:val="448665177"/>
        </w:trPr>
        <w:tc>
          <w:tcPr>
            <w:tcW w:w="0" w:type="auto"/>
            <w:hideMark/>
          </w:tcPr>
          <w:p w14:paraId="6FF37EB7" w14:textId="77777777" w:rsidR="00D76F80" w:rsidRPr="0087487B" w:rsidRDefault="00D76F80" w:rsidP="00314B37">
            <w:pPr>
              <w:pStyle w:val="NormalWeb"/>
              <w:jc w:val="left"/>
              <w:rPr>
                <w:sz w:val="18"/>
                <w:szCs w:val="18"/>
              </w:rPr>
            </w:pPr>
            <w:proofErr w:type="spellStart"/>
            <w:r w:rsidRPr="0087487B">
              <w:rPr>
                <w:sz w:val="18"/>
                <w:szCs w:val="18"/>
              </w:rPr>
              <w:t>Pretomanid</w:t>
            </w:r>
            <w:proofErr w:type="spellEnd"/>
          </w:p>
        </w:tc>
        <w:tc>
          <w:tcPr>
            <w:tcW w:w="0" w:type="auto"/>
            <w:hideMark/>
          </w:tcPr>
          <w:p w14:paraId="6B51244B" w14:textId="77777777" w:rsidR="00D76F80" w:rsidRPr="0087487B" w:rsidRDefault="00D76F80" w:rsidP="00314B37">
            <w:pPr>
              <w:pStyle w:val="NormalWeb"/>
              <w:jc w:val="left"/>
              <w:rPr>
                <w:sz w:val="18"/>
                <w:szCs w:val="18"/>
              </w:rPr>
            </w:pPr>
            <w:r w:rsidRPr="0087487B">
              <w:rPr>
                <w:sz w:val="18"/>
                <w:szCs w:val="18"/>
              </w:rPr>
              <w:t>Use with caution in liver disease.</w:t>
            </w:r>
            <w:r w:rsidRPr="0087487B">
              <w:rPr>
                <w:sz w:val="18"/>
                <w:szCs w:val="18"/>
              </w:rPr>
              <w:br/>
              <w:t xml:space="preserve">Safety, </w:t>
            </w:r>
            <w:proofErr w:type="gramStart"/>
            <w:r w:rsidRPr="0087487B">
              <w:rPr>
                <w:sz w:val="18"/>
                <w:szCs w:val="18"/>
              </w:rPr>
              <w:t>effectiveness</w:t>
            </w:r>
            <w:proofErr w:type="gramEnd"/>
            <w:r w:rsidRPr="0087487B">
              <w:rPr>
                <w:sz w:val="18"/>
                <w:szCs w:val="18"/>
              </w:rPr>
              <w:t xml:space="preserve"> and pharmacokinetics unknown (WHO).</w:t>
            </w:r>
          </w:p>
        </w:tc>
      </w:tr>
      <w:tr w:rsidR="00D76F80" w:rsidRPr="0087487B" w14:paraId="77544BD0" w14:textId="77777777" w:rsidTr="00D76F80">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11C50038" w14:textId="77777777" w:rsidR="00D76F80" w:rsidRPr="0087487B" w:rsidRDefault="00D76F80" w:rsidP="00314B37">
            <w:pPr>
              <w:pStyle w:val="NormalWeb"/>
              <w:jc w:val="left"/>
              <w:rPr>
                <w:sz w:val="18"/>
                <w:szCs w:val="18"/>
              </w:rPr>
            </w:pPr>
            <w:r w:rsidRPr="0087487B">
              <w:rPr>
                <w:sz w:val="18"/>
                <w:szCs w:val="18"/>
              </w:rPr>
              <w:t>Linezolid</w:t>
            </w:r>
          </w:p>
        </w:tc>
        <w:tc>
          <w:tcPr>
            <w:tcW w:w="0" w:type="auto"/>
            <w:hideMark/>
          </w:tcPr>
          <w:p w14:paraId="4DA613D9" w14:textId="77777777" w:rsidR="00D76F80" w:rsidRPr="0087487B" w:rsidRDefault="00D76F80" w:rsidP="00314B37">
            <w:pPr>
              <w:pStyle w:val="NormalWeb"/>
              <w:jc w:val="left"/>
              <w:rPr>
                <w:sz w:val="18"/>
                <w:szCs w:val="18"/>
              </w:rPr>
            </w:pPr>
            <w:r w:rsidRPr="0087487B">
              <w:rPr>
                <w:sz w:val="18"/>
                <w:szCs w:val="18"/>
              </w:rPr>
              <w:t>Prolonged exposure may induce severe hepato-</w:t>
            </w:r>
            <w:proofErr w:type="spellStart"/>
            <w:proofErr w:type="gramStart"/>
            <w:r w:rsidRPr="0087487B">
              <w:rPr>
                <w:sz w:val="18"/>
                <w:szCs w:val="18"/>
              </w:rPr>
              <w:t>toxicity.</w:t>
            </w:r>
            <w:r w:rsidRPr="0087487B">
              <w:rPr>
                <w:sz w:val="18"/>
                <w:szCs w:val="18"/>
                <w:vertAlign w:val="superscript"/>
              </w:rPr>
              <w:t>b</w:t>
            </w:r>
            <w:proofErr w:type="spellEnd"/>
            <w:proofErr w:type="gramEnd"/>
            <w:r w:rsidRPr="0087487B">
              <w:rPr>
                <w:sz w:val="18"/>
                <w:szCs w:val="18"/>
              </w:rPr>
              <w:br/>
              <w:t xml:space="preserve">Higher than therapeutic concentrations may occur in cirrhotic </w:t>
            </w:r>
            <w:proofErr w:type="spellStart"/>
            <w:r w:rsidRPr="0087487B">
              <w:rPr>
                <w:sz w:val="18"/>
                <w:szCs w:val="18"/>
              </w:rPr>
              <w:t>patients.</w:t>
            </w:r>
            <w:r w:rsidRPr="0087487B">
              <w:rPr>
                <w:sz w:val="18"/>
                <w:szCs w:val="18"/>
                <w:vertAlign w:val="superscript"/>
              </w:rPr>
              <w:t>c</w:t>
            </w:r>
            <w:proofErr w:type="spellEnd"/>
          </w:p>
        </w:tc>
      </w:tr>
      <w:tr w:rsidR="00D76F80" w:rsidRPr="0087487B" w14:paraId="0C76A8AA" w14:textId="77777777" w:rsidTr="00D76F80">
        <w:trPr>
          <w:divId w:val="448665177"/>
        </w:trPr>
        <w:tc>
          <w:tcPr>
            <w:tcW w:w="0" w:type="auto"/>
            <w:hideMark/>
          </w:tcPr>
          <w:p w14:paraId="77ED5E8C" w14:textId="77777777" w:rsidR="00D76F80" w:rsidRPr="0087487B" w:rsidRDefault="00D76F80" w:rsidP="00314B37">
            <w:pPr>
              <w:pStyle w:val="NormalWeb"/>
              <w:jc w:val="left"/>
              <w:rPr>
                <w:sz w:val="18"/>
                <w:szCs w:val="18"/>
              </w:rPr>
            </w:pPr>
            <w:r w:rsidRPr="0087487B">
              <w:rPr>
                <w:sz w:val="18"/>
                <w:szCs w:val="18"/>
              </w:rPr>
              <w:t>Clofazimine</w:t>
            </w:r>
          </w:p>
        </w:tc>
        <w:tc>
          <w:tcPr>
            <w:tcW w:w="0" w:type="auto"/>
            <w:hideMark/>
          </w:tcPr>
          <w:p w14:paraId="685127F4" w14:textId="77777777" w:rsidR="00D76F80" w:rsidRPr="0087487B" w:rsidRDefault="00D76F80" w:rsidP="00314B37">
            <w:pPr>
              <w:pStyle w:val="NormalWeb"/>
              <w:jc w:val="left"/>
              <w:rPr>
                <w:sz w:val="18"/>
                <w:szCs w:val="18"/>
              </w:rPr>
            </w:pPr>
            <w:r w:rsidRPr="0087487B">
              <w:rPr>
                <w:sz w:val="18"/>
                <w:szCs w:val="18"/>
              </w:rPr>
              <w:t>Minimal hepato-toxicity risk.</w:t>
            </w:r>
          </w:p>
        </w:tc>
      </w:tr>
      <w:tr w:rsidR="00D76F80" w:rsidRPr="0087487B" w14:paraId="7DF772E8" w14:textId="77777777" w:rsidTr="00D76F80">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3F314040" w14:textId="77777777" w:rsidR="00D76F80" w:rsidRPr="0087487B" w:rsidRDefault="00D76F80" w:rsidP="00314B37">
            <w:pPr>
              <w:pStyle w:val="NormalWeb"/>
              <w:jc w:val="left"/>
              <w:rPr>
                <w:sz w:val="18"/>
                <w:szCs w:val="18"/>
              </w:rPr>
            </w:pPr>
            <w:proofErr w:type="spellStart"/>
            <w:r w:rsidRPr="0087487B">
              <w:rPr>
                <w:sz w:val="18"/>
                <w:szCs w:val="18"/>
              </w:rPr>
              <w:t>Cycloserine</w:t>
            </w:r>
            <w:proofErr w:type="spellEnd"/>
          </w:p>
        </w:tc>
        <w:tc>
          <w:tcPr>
            <w:tcW w:w="0" w:type="auto"/>
            <w:hideMark/>
          </w:tcPr>
          <w:p w14:paraId="5F7A9D75" w14:textId="77777777" w:rsidR="00D76F80" w:rsidRPr="0087487B" w:rsidRDefault="00D76F80" w:rsidP="00314B37">
            <w:pPr>
              <w:pStyle w:val="NormalWeb"/>
              <w:jc w:val="left"/>
              <w:rPr>
                <w:sz w:val="18"/>
                <w:szCs w:val="18"/>
              </w:rPr>
            </w:pPr>
            <w:r w:rsidRPr="0087487B">
              <w:rPr>
                <w:sz w:val="18"/>
                <w:szCs w:val="18"/>
              </w:rPr>
              <w:t>Minimal hepato-toxicity risk.</w:t>
            </w:r>
          </w:p>
        </w:tc>
      </w:tr>
      <w:tr w:rsidR="00D76F80" w:rsidRPr="0087487B" w14:paraId="7E8598AA" w14:textId="77777777" w:rsidTr="00D76F80">
        <w:trPr>
          <w:divId w:val="448665177"/>
        </w:trPr>
        <w:tc>
          <w:tcPr>
            <w:tcW w:w="0" w:type="auto"/>
            <w:hideMark/>
          </w:tcPr>
          <w:p w14:paraId="19003395" w14:textId="77777777" w:rsidR="00D76F80" w:rsidRPr="0087487B" w:rsidRDefault="00D76F80" w:rsidP="00314B37">
            <w:pPr>
              <w:pStyle w:val="NormalWeb"/>
              <w:jc w:val="left"/>
              <w:rPr>
                <w:sz w:val="18"/>
                <w:szCs w:val="18"/>
              </w:rPr>
            </w:pPr>
            <w:r w:rsidRPr="0087487B">
              <w:rPr>
                <w:sz w:val="18"/>
                <w:szCs w:val="18"/>
              </w:rPr>
              <w:t>Amikacin</w:t>
            </w:r>
          </w:p>
        </w:tc>
        <w:tc>
          <w:tcPr>
            <w:tcW w:w="0" w:type="auto"/>
            <w:hideMark/>
          </w:tcPr>
          <w:p w14:paraId="37C79400" w14:textId="77777777" w:rsidR="00D76F80" w:rsidRPr="0087487B" w:rsidRDefault="00D76F80" w:rsidP="00314B37">
            <w:pPr>
              <w:pStyle w:val="NormalWeb"/>
              <w:jc w:val="left"/>
              <w:rPr>
                <w:sz w:val="18"/>
                <w:szCs w:val="18"/>
              </w:rPr>
            </w:pPr>
            <w:r w:rsidRPr="0087487B">
              <w:rPr>
                <w:sz w:val="18"/>
                <w:szCs w:val="18"/>
              </w:rPr>
              <w:t>Minimal hepato-toxicity risk.</w:t>
            </w:r>
          </w:p>
        </w:tc>
      </w:tr>
      <w:tr w:rsidR="00D76F80" w:rsidRPr="0087487B" w14:paraId="7ABF8AAD" w14:textId="77777777" w:rsidTr="00D76F80">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663EBBB3" w14:textId="77777777" w:rsidR="00D76F80" w:rsidRPr="0087487B" w:rsidRDefault="00D76F80" w:rsidP="00314B37">
            <w:pPr>
              <w:pStyle w:val="NormalWeb"/>
              <w:jc w:val="left"/>
              <w:rPr>
                <w:sz w:val="18"/>
                <w:szCs w:val="18"/>
              </w:rPr>
            </w:pPr>
            <w:proofErr w:type="spellStart"/>
            <w:r w:rsidRPr="0087487B">
              <w:rPr>
                <w:sz w:val="18"/>
                <w:szCs w:val="18"/>
              </w:rPr>
              <w:t>Prothionamide</w:t>
            </w:r>
            <w:proofErr w:type="spellEnd"/>
            <w:r w:rsidRPr="0087487B">
              <w:rPr>
                <w:sz w:val="18"/>
                <w:szCs w:val="18"/>
              </w:rPr>
              <w:t>/ethionamide</w:t>
            </w:r>
          </w:p>
        </w:tc>
        <w:tc>
          <w:tcPr>
            <w:tcW w:w="0" w:type="auto"/>
            <w:hideMark/>
          </w:tcPr>
          <w:p w14:paraId="0FB3AB4E" w14:textId="77777777" w:rsidR="00D76F80" w:rsidRPr="0087487B" w:rsidRDefault="00D76F80" w:rsidP="00314B37">
            <w:pPr>
              <w:pStyle w:val="NormalWeb"/>
              <w:jc w:val="left"/>
              <w:rPr>
                <w:sz w:val="18"/>
                <w:szCs w:val="18"/>
              </w:rPr>
            </w:pPr>
            <w:r w:rsidRPr="0087487B">
              <w:rPr>
                <w:sz w:val="18"/>
                <w:szCs w:val="18"/>
              </w:rPr>
              <w:t>Potentially hepato-toxic but the risk is lower than for the first line drugs.</w:t>
            </w:r>
          </w:p>
        </w:tc>
      </w:tr>
      <w:tr w:rsidR="00D76F80" w:rsidRPr="0087487B" w14:paraId="45DD0ED3" w14:textId="77777777" w:rsidTr="00D76F80">
        <w:trPr>
          <w:divId w:val="448665177"/>
        </w:trPr>
        <w:tc>
          <w:tcPr>
            <w:tcW w:w="0" w:type="auto"/>
            <w:hideMark/>
          </w:tcPr>
          <w:p w14:paraId="213809A8" w14:textId="77777777" w:rsidR="00D76F80" w:rsidRPr="0087487B" w:rsidRDefault="00D76F80" w:rsidP="00314B37">
            <w:pPr>
              <w:pStyle w:val="NormalWeb"/>
              <w:jc w:val="left"/>
              <w:rPr>
                <w:sz w:val="18"/>
                <w:szCs w:val="18"/>
              </w:rPr>
            </w:pPr>
            <w:r w:rsidRPr="0087487B">
              <w:rPr>
                <w:sz w:val="18"/>
                <w:szCs w:val="18"/>
              </w:rPr>
              <w:t>Pyrazinamide</w:t>
            </w:r>
          </w:p>
        </w:tc>
        <w:tc>
          <w:tcPr>
            <w:tcW w:w="0" w:type="auto"/>
            <w:hideMark/>
          </w:tcPr>
          <w:p w14:paraId="7DD740C7" w14:textId="77777777" w:rsidR="00D76F80" w:rsidRPr="0087487B" w:rsidRDefault="00D76F80" w:rsidP="00314B37">
            <w:pPr>
              <w:pStyle w:val="NormalWeb"/>
              <w:jc w:val="left"/>
              <w:rPr>
                <w:sz w:val="18"/>
                <w:szCs w:val="18"/>
              </w:rPr>
            </w:pPr>
            <w:r w:rsidRPr="0087487B">
              <w:rPr>
                <w:sz w:val="18"/>
                <w:szCs w:val="18"/>
              </w:rPr>
              <w:t xml:space="preserve">Pyrazinamide is the most hepato-toxic TB drug and should NOT </w:t>
            </w:r>
            <w:proofErr w:type="gramStart"/>
            <w:r w:rsidRPr="0087487B">
              <w:rPr>
                <w:sz w:val="18"/>
                <w:szCs w:val="18"/>
              </w:rPr>
              <w:t>be used</w:t>
            </w:r>
            <w:proofErr w:type="gramEnd"/>
            <w:r w:rsidRPr="0087487B">
              <w:rPr>
                <w:sz w:val="18"/>
                <w:szCs w:val="18"/>
              </w:rPr>
              <w:t xml:space="preserve"> in those with chronic liver disease.</w:t>
            </w:r>
          </w:p>
        </w:tc>
      </w:tr>
      <w:tr w:rsidR="00D76F80" w:rsidRPr="0087487B" w14:paraId="579049ED" w14:textId="77777777" w:rsidTr="00D76F80">
        <w:trPr>
          <w:cnfStyle w:val="000000010000" w:firstRow="0" w:lastRow="0" w:firstColumn="0" w:lastColumn="0" w:oddVBand="0" w:evenVBand="0" w:oddHBand="0" w:evenHBand="1" w:firstRowFirstColumn="0" w:firstRowLastColumn="0" w:lastRowFirstColumn="0" w:lastRowLastColumn="0"/>
          <w:divId w:val="448665177"/>
        </w:trPr>
        <w:tc>
          <w:tcPr>
            <w:tcW w:w="0" w:type="auto"/>
            <w:hideMark/>
          </w:tcPr>
          <w:p w14:paraId="4C8E8A4C" w14:textId="77777777" w:rsidR="00D76F80" w:rsidRPr="0087487B" w:rsidRDefault="00D76F80" w:rsidP="00314B37">
            <w:pPr>
              <w:pStyle w:val="NormalWeb"/>
              <w:jc w:val="left"/>
              <w:rPr>
                <w:sz w:val="18"/>
                <w:szCs w:val="18"/>
              </w:rPr>
            </w:pPr>
            <w:r w:rsidRPr="0087487B">
              <w:rPr>
                <w:sz w:val="18"/>
                <w:szCs w:val="18"/>
              </w:rPr>
              <w:t>High dose isoniazid</w:t>
            </w:r>
          </w:p>
        </w:tc>
        <w:tc>
          <w:tcPr>
            <w:tcW w:w="0" w:type="auto"/>
            <w:hideMark/>
          </w:tcPr>
          <w:p w14:paraId="135C50B1" w14:textId="77777777" w:rsidR="00D76F80" w:rsidRPr="0087487B" w:rsidRDefault="00D76F80" w:rsidP="00314B37">
            <w:pPr>
              <w:pStyle w:val="NormalWeb"/>
              <w:jc w:val="left"/>
              <w:rPr>
                <w:sz w:val="18"/>
                <w:szCs w:val="18"/>
              </w:rPr>
            </w:pPr>
            <w:r w:rsidRPr="0087487B">
              <w:rPr>
                <w:sz w:val="18"/>
                <w:szCs w:val="18"/>
              </w:rPr>
              <w:t>High dose isoniazid in those with normal liver function does not appear to increase the risk of hepato-toxicity.</w:t>
            </w:r>
            <w:r w:rsidRPr="0087487B">
              <w:rPr>
                <w:sz w:val="18"/>
                <w:szCs w:val="18"/>
              </w:rPr>
              <w:br/>
              <w:t xml:space="preserve">However its use in chronic liver disease has not </w:t>
            </w:r>
            <w:proofErr w:type="gramStart"/>
            <w:r w:rsidRPr="0087487B">
              <w:rPr>
                <w:sz w:val="18"/>
                <w:szCs w:val="18"/>
              </w:rPr>
              <w:t>been studied</w:t>
            </w:r>
            <w:proofErr w:type="gramEnd"/>
            <w:r w:rsidRPr="0087487B">
              <w:rPr>
                <w:sz w:val="18"/>
                <w:szCs w:val="18"/>
              </w:rPr>
              <w:t xml:space="preserve"> and is NOT recommended particularly in unstable liver disease.</w:t>
            </w:r>
          </w:p>
        </w:tc>
      </w:tr>
    </w:tbl>
    <w:p w14:paraId="5570E8B5" w14:textId="77777777" w:rsidR="00D76F80" w:rsidRPr="0087487B" w:rsidRDefault="00D76F80" w:rsidP="00D76F80">
      <w:pPr>
        <w:pStyle w:val="CDIfootnotes"/>
        <w:divId w:val="448665177"/>
      </w:pPr>
      <w:r w:rsidRPr="0087487B">
        <w:t>a</w:t>
      </w:r>
      <w:r w:rsidRPr="0087487B">
        <w:tab/>
        <w:t xml:space="preserve">Source: reference </w:t>
      </w:r>
      <w:proofErr w:type="gramStart"/>
      <w:r w:rsidRPr="0087487B">
        <w:t>42</w:t>
      </w:r>
      <w:proofErr w:type="gramEnd"/>
      <w:r w:rsidRPr="0087487B">
        <w:t>.</w:t>
      </w:r>
    </w:p>
    <w:p w14:paraId="679C38E6" w14:textId="77777777" w:rsidR="00D76F80" w:rsidRPr="0087487B" w:rsidRDefault="00D76F80" w:rsidP="00D76F80">
      <w:pPr>
        <w:pStyle w:val="CDIfootnotes"/>
        <w:divId w:val="448665177"/>
      </w:pPr>
      <w:r w:rsidRPr="0087487B">
        <w:t>b</w:t>
      </w:r>
      <w:r w:rsidRPr="0087487B">
        <w:tab/>
        <w:t xml:space="preserve">Source: reference </w:t>
      </w:r>
      <w:proofErr w:type="gramStart"/>
      <w:r w:rsidRPr="0087487B">
        <w:t>43</w:t>
      </w:r>
      <w:proofErr w:type="gramEnd"/>
      <w:r w:rsidRPr="0087487B">
        <w:t>.</w:t>
      </w:r>
    </w:p>
    <w:p w14:paraId="11FB3FF0" w14:textId="7CC68604" w:rsidR="00D76F80" w:rsidRPr="0087487B" w:rsidRDefault="00D76F80" w:rsidP="00605735">
      <w:pPr>
        <w:pStyle w:val="CDIfootnotes"/>
        <w:divId w:val="448665177"/>
      </w:pPr>
      <w:r w:rsidRPr="0087487B">
        <w:t>c</w:t>
      </w:r>
      <w:r w:rsidRPr="0087487B">
        <w:tab/>
        <w:t xml:space="preserve">Source: reference </w:t>
      </w:r>
      <w:proofErr w:type="gramStart"/>
      <w:r w:rsidRPr="0087487B">
        <w:t>44</w:t>
      </w:r>
      <w:proofErr w:type="gramEnd"/>
      <w:r w:rsidRPr="0087487B">
        <w:t>.</w:t>
      </w:r>
    </w:p>
    <w:p w14:paraId="7D07762B" w14:textId="653088C1" w:rsidR="00F605B4" w:rsidRPr="0087487B" w:rsidRDefault="00F605B4">
      <w:pPr>
        <w:pStyle w:val="Heading2"/>
        <w:divId w:val="448665177"/>
        <w:rPr>
          <w:rFonts w:eastAsia="Times New Roman"/>
        </w:rPr>
      </w:pPr>
      <w:r w:rsidRPr="0087487B">
        <w:rPr>
          <w:rFonts w:eastAsia="Times New Roman"/>
        </w:rPr>
        <w:t xml:space="preserve">Appendix A.6: MDR drugs in renal disease </w:t>
      </w:r>
    </w:p>
    <w:tbl>
      <w:tblPr>
        <w:tblStyle w:val="CDI-StandardTable"/>
        <w:tblW w:w="0" w:type="auto"/>
        <w:tblLook w:val="04A0" w:firstRow="1" w:lastRow="0" w:firstColumn="1" w:lastColumn="0" w:noHBand="0" w:noVBand="1"/>
        <w:tblDescription w:val="This table details the recommendations and concerns regarding TB treatment of people with renal disease, for the following medications: moxifloxacin; levofloxacin; bedaquiline; pretomanid; linezolid; clofazimine; cycloserine delamanid; ethambutol; pyrazinamide; amikacin; and prothionamide."/>
      </w:tblPr>
      <w:tblGrid>
        <w:gridCol w:w="1560"/>
        <w:gridCol w:w="8906"/>
      </w:tblGrid>
      <w:tr w:rsidR="000B599B" w:rsidRPr="0087487B" w14:paraId="14B5D156" w14:textId="77777777" w:rsidTr="00314B37">
        <w:trPr>
          <w:cnfStyle w:val="100000000000" w:firstRow="1" w:lastRow="0" w:firstColumn="0" w:lastColumn="0" w:oddVBand="0" w:evenVBand="0" w:oddHBand="0" w:evenHBand="0" w:firstRowFirstColumn="0" w:firstRowLastColumn="0" w:lastRowFirstColumn="0" w:lastRowLastColumn="0"/>
        </w:trPr>
        <w:tc>
          <w:tcPr>
            <w:tcW w:w="1560" w:type="dxa"/>
            <w:hideMark/>
          </w:tcPr>
          <w:p w14:paraId="5E76930F" w14:textId="77777777" w:rsidR="000B599B" w:rsidRPr="0087487B" w:rsidRDefault="000B599B" w:rsidP="00314B37">
            <w:pPr>
              <w:pStyle w:val="NormalWeb"/>
              <w:jc w:val="left"/>
              <w:rPr>
                <w:sz w:val="18"/>
                <w:szCs w:val="18"/>
              </w:rPr>
            </w:pPr>
            <w:r w:rsidRPr="0087487B">
              <w:rPr>
                <w:sz w:val="18"/>
                <w:szCs w:val="18"/>
              </w:rPr>
              <w:t>Drug</w:t>
            </w:r>
          </w:p>
        </w:tc>
        <w:tc>
          <w:tcPr>
            <w:tcW w:w="8906" w:type="dxa"/>
            <w:hideMark/>
          </w:tcPr>
          <w:p w14:paraId="05F4A049" w14:textId="77777777" w:rsidR="000B599B" w:rsidRPr="0087487B" w:rsidRDefault="000B599B" w:rsidP="00314B37">
            <w:pPr>
              <w:pStyle w:val="NormalWeb"/>
              <w:jc w:val="left"/>
              <w:rPr>
                <w:sz w:val="18"/>
                <w:szCs w:val="18"/>
              </w:rPr>
            </w:pPr>
            <w:r w:rsidRPr="0087487B">
              <w:rPr>
                <w:sz w:val="18"/>
                <w:szCs w:val="18"/>
              </w:rPr>
              <w:t>Recommended dose and frequency if creatinine clearance is &lt; 30 ml/min</w:t>
            </w:r>
          </w:p>
        </w:tc>
      </w:tr>
      <w:tr w:rsidR="000B599B" w:rsidRPr="0087487B" w14:paraId="09160BAD" w14:textId="77777777" w:rsidTr="00314B37">
        <w:tc>
          <w:tcPr>
            <w:tcW w:w="1560" w:type="dxa"/>
            <w:hideMark/>
          </w:tcPr>
          <w:p w14:paraId="1E2C884A" w14:textId="77777777" w:rsidR="000B599B" w:rsidRPr="0087487B" w:rsidRDefault="000B599B" w:rsidP="00314B37">
            <w:pPr>
              <w:pStyle w:val="NormalWeb"/>
              <w:jc w:val="left"/>
              <w:rPr>
                <w:sz w:val="18"/>
                <w:szCs w:val="18"/>
              </w:rPr>
            </w:pPr>
            <w:r w:rsidRPr="0087487B">
              <w:rPr>
                <w:sz w:val="18"/>
                <w:szCs w:val="18"/>
              </w:rPr>
              <w:t>Moxifloxacin</w:t>
            </w:r>
          </w:p>
        </w:tc>
        <w:tc>
          <w:tcPr>
            <w:tcW w:w="8906" w:type="dxa"/>
            <w:hideMark/>
          </w:tcPr>
          <w:p w14:paraId="2D7553A1" w14:textId="77777777" w:rsidR="000B599B" w:rsidRPr="0087487B" w:rsidRDefault="000B599B" w:rsidP="00314B37">
            <w:pPr>
              <w:pStyle w:val="NormalWeb"/>
              <w:jc w:val="left"/>
              <w:rPr>
                <w:sz w:val="18"/>
                <w:szCs w:val="18"/>
              </w:rPr>
            </w:pPr>
            <w:r w:rsidRPr="0087487B">
              <w:rPr>
                <w:sz w:val="18"/>
                <w:szCs w:val="18"/>
              </w:rPr>
              <w:t xml:space="preserve">No dose change needed. 400 mg daily. There may be a higher risk of neurotoxicity and </w:t>
            </w:r>
            <w:proofErr w:type="spellStart"/>
            <w:r w:rsidRPr="0087487B">
              <w:rPr>
                <w:sz w:val="18"/>
                <w:szCs w:val="18"/>
              </w:rPr>
              <w:t>tendonopathy</w:t>
            </w:r>
            <w:proofErr w:type="spellEnd"/>
            <w:r w:rsidRPr="0087487B">
              <w:rPr>
                <w:sz w:val="18"/>
                <w:szCs w:val="18"/>
              </w:rPr>
              <w:t xml:space="preserve"> when used in severe renal disease.</w:t>
            </w:r>
          </w:p>
        </w:tc>
      </w:tr>
      <w:tr w:rsidR="000B599B" w:rsidRPr="0087487B" w14:paraId="7CBAF7A3" w14:textId="77777777" w:rsidTr="00314B37">
        <w:trPr>
          <w:cnfStyle w:val="000000010000" w:firstRow="0" w:lastRow="0" w:firstColumn="0" w:lastColumn="0" w:oddVBand="0" w:evenVBand="0" w:oddHBand="0" w:evenHBand="1" w:firstRowFirstColumn="0" w:firstRowLastColumn="0" w:lastRowFirstColumn="0" w:lastRowLastColumn="0"/>
        </w:trPr>
        <w:tc>
          <w:tcPr>
            <w:tcW w:w="1560" w:type="dxa"/>
            <w:hideMark/>
          </w:tcPr>
          <w:p w14:paraId="2DCAAA90" w14:textId="77777777" w:rsidR="000B599B" w:rsidRPr="0087487B" w:rsidRDefault="000B599B" w:rsidP="00314B37">
            <w:pPr>
              <w:pStyle w:val="NormalWeb"/>
              <w:jc w:val="left"/>
              <w:rPr>
                <w:sz w:val="18"/>
                <w:szCs w:val="18"/>
              </w:rPr>
            </w:pPr>
            <w:r w:rsidRPr="0087487B">
              <w:rPr>
                <w:sz w:val="18"/>
                <w:szCs w:val="18"/>
              </w:rPr>
              <w:t>Levofloxacin</w:t>
            </w:r>
          </w:p>
        </w:tc>
        <w:tc>
          <w:tcPr>
            <w:tcW w:w="8906" w:type="dxa"/>
            <w:hideMark/>
          </w:tcPr>
          <w:p w14:paraId="52FE316D" w14:textId="77777777" w:rsidR="000B599B" w:rsidRPr="0087487B" w:rsidRDefault="000B599B" w:rsidP="00314B37">
            <w:pPr>
              <w:pStyle w:val="NormalWeb"/>
              <w:jc w:val="left"/>
              <w:rPr>
                <w:sz w:val="18"/>
                <w:szCs w:val="18"/>
              </w:rPr>
            </w:pPr>
            <w:r w:rsidRPr="0087487B">
              <w:rPr>
                <w:sz w:val="18"/>
                <w:szCs w:val="18"/>
              </w:rPr>
              <w:t xml:space="preserve">750–1000 mg per dose </w:t>
            </w:r>
            <w:proofErr w:type="gramStart"/>
            <w:r w:rsidRPr="0087487B">
              <w:rPr>
                <w:b/>
                <w:bCs/>
                <w:sz w:val="18"/>
                <w:szCs w:val="18"/>
              </w:rPr>
              <w:t>3</w:t>
            </w:r>
            <w:proofErr w:type="gramEnd"/>
            <w:r w:rsidRPr="0087487B">
              <w:rPr>
                <w:b/>
                <w:bCs/>
                <w:sz w:val="18"/>
                <w:szCs w:val="18"/>
              </w:rPr>
              <w:t xml:space="preserve"> times per week</w:t>
            </w:r>
            <w:r w:rsidRPr="0087487B">
              <w:rPr>
                <w:sz w:val="18"/>
                <w:szCs w:val="18"/>
              </w:rPr>
              <w:t>, NOT daily.</w:t>
            </w:r>
          </w:p>
        </w:tc>
      </w:tr>
      <w:tr w:rsidR="000B599B" w:rsidRPr="0087487B" w14:paraId="584D5C8D" w14:textId="77777777" w:rsidTr="00314B37">
        <w:tc>
          <w:tcPr>
            <w:tcW w:w="1560" w:type="dxa"/>
            <w:hideMark/>
          </w:tcPr>
          <w:p w14:paraId="2BBB2EA3" w14:textId="77777777" w:rsidR="000B599B" w:rsidRPr="0087487B" w:rsidRDefault="000B599B" w:rsidP="00314B37">
            <w:pPr>
              <w:pStyle w:val="NormalWeb"/>
              <w:jc w:val="left"/>
              <w:rPr>
                <w:sz w:val="18"/>
                <w:szCs w:val="18"/>
              </w:rPr>
            </w:pPr>
            <w:proofErr w:type="spellStart"/>
            <w:r w:rsidRPr="0087487B">
              <w:rPr>
                <w:sz w:val="18"/>
                <w:szCs w:val="18"/>
              </w:rPr>
              <w:t>Bedaquiline</w:t>
            </w:r>
            <w:proofErr w:type="spellEnd"/>
          </w:p>
        </w:tc>
        <w:tc>
          <w:tcPr>
            <w:tcW w:w="8906" w:type="dxa"/>
            <w:hideMark/>
          </w:tcPr>
          <w:p w14:paraId="46F8F7F5" w14:textId="77777777" w:rsidR="000B599B" w:rsidRPr="0087487B" w:rsidRDefault="000B599B" w:rsidP="00314B37">
            <w:pPr>
              <w:pStyle w:val="NormalWeb"/>
              <w:jc w:val="left"/>
              <w:rPr>
                <w:sz w:val="18"/>
                <w:szCs w:val="18"/>
              </w:rPr>
            </w:pPr>
            <w:r w:rsidRPr="0087487B">
              <w:rPr>
                <w:sz w:val="18"/>
                <w:szCs w:val="18"/>
              </w:rPr>
              <w:t xml:space="preserve">No dose change needed in mild to moderate renal impairment. </w:t>
            </w:r>
            <w:r w:rsidRPr="0087487B">
              <w:rPr>
                <w:b/>
                <w:bCs/>
                <w:sz w:val="18"/>
                <w:szCs w:val="18"/>
              </w:rPr>
              <w:t>Use with caution in severe renal impairment.</w:t>
            </w:r>
          </w:p>
        </w:tc>
      </w:tr>
      <w:tr w:rsidR="000B599B" w:rsidRPr="0087487B" w14:paraId="75725408" w14:textId="77777777" w:rsidTr="00314B37">
        <w:trPr>
          <w:cnfStyle w:val="000000010000" w:firstRow="0" w:lastRow="0" w:firstColumn="0" w:lastColumn="0" w:oddVBand="0" w:evenVBand="0" w:oddHBand="0" w:evenHBand="1" w:firstRowFirstColumn="0" w:firstRowLastColumn="0" w:lastRowFirstColumn="0" w:lastRowLastColumn="0"/>
        </w:trPr>
        <w:tc>
          <w:tcPr>
            <w:tcW w:w="1560" w:type="dxa"/>
            <w:hideMark/>
          </w:tcPr>
          <w:p w14:paraId="2AE4724D" w14:textId="77777777" w:rsidR="000B599B" w:rsidRPr="0087487B" w:rsidRDefault="000B599B" w:rsidP="00314B37">
            <w:pPr>
              <w:pStyle w:val="NormalWeb"/>
              <w:jc w:val="left"/>
              <w:rPr>
                <w:sz w:val="18"/>
                <w:szCs w:val="18"/>
              </w:rPr>
            </w:pPr>
            <w:proofErr w:type="spellStart"/>
            <w:r w:rsidRPr="0087487B">
              <w:rPr>
                <w:sz w:val="18"/>
                <w:szCs w:val="18"/>
              </w:rPr>
              <w:t>Pretomanid</w:t>
            </w:r>
            <w:proofErr w:type="spellEnd"/>
          </w:p>
        </w:tc>
        <w:tc>
          <w:tcPr>
            <w:tcW w:w="8906" w:type="dxa"/>
            <w:hideMark/>
          </w:tcPr>
          <w:p w14:paraId="1901CF17" w14:textId="77777777" w:rsidR="000B599B" w:rsidRPr="0087487B" w:rsidRDefault="000B599B" w:rsidP="00314B37">
            <w:pPr>
              <w:pStyle w:val="NormalWeb"/>
              <w:jc w:val="left"/>
              <w:rPr>
                <w:sz w:val="18"/>
                <w:szCs w:val="18"/>
              </w:rPr>
            </w:pPr>
            <w:r w:rsidRPr="0087487B">
              <w:rPr>
                <w:b/>
                <w:bCs/>
                <w:sz w:val="18"/>
                <w:szCs w:val="18"/>
              </w:rPr>
              <w:t>Use with caution in renal disease.</w:t>
            </w:r>
            <w:r w:rsidRPr="0087487B">
              <w:rPr>
                <w:sz w:val="18"/>
                <w:szCs w:val="18"/>
              </w:rPr>
              <w:t xml:space="preserve"> Safety, </w:t>
            </w:r>
            <w:proofErr w:type="gramStart"/>
            <w:r w:rsidRPr="0087487B">
              <w:rPr>
                <w:sz w:val="18"/>
                <w:szCs w:val="18"/>
              </w:rPr>
              <w:t>effectiveness</w:t>
            </w:r>
            <w:proofErr w:type="gramEnd"/>
            <w:r w:rsidRPr="0087487B">
              <w:rPr>
                <w:sz w:val="18"/>
                <w:szCs w:val="18"/>
              </w:rPr>
              <w:t xml:space="preserve"> and pharmacokinetics unknown (WHO).</w:t>
            </w:r>
          </w:p>
        </w:tc>
      </w:tr>
      <w:tr w:rsidR="000B599B" w:rsidRPr="0087487B" w14:paraId="57501286" w14:textId="77777777" w:rsidTr="00314B37">
        <w:tc>
          <w:tcPr>
            <w:tcW w:w="1560" w:type="dxa"/>
            <w:hideMark/>
          </w:tcPr>
          <w:p w14:paraId="3E0EBD54" w14:textId="77777777" w:rsidR="000B599B" w:rsidRPr="0087487B" w:rsidRDefault="000B599B" w:rsidP="00314B37">
            <w:pPr>
              <w:pStyle w:val="NormalWeb"/>
              <w:jc w:val="left"/>
              <w:rPr>
                <w:sz w:val="18"/>
                <w:szCs w:val="18"/>
              </w:rPr>
            </w:pPr>
            <w:r w:rsidRPr="0087487B">
              <w:rPr>
                <w:sz w:val="18"/>
                <w:szCs w:val="18"/>
              </w:rPr>
              <w:t>Linezolid</w:t>
            </w:r>
          </w:p>
        </w:tc>
        <w:tc>
          <w:tcPr>
            <w:tcW w:w="8906" w:type="dxa"/>
            <w:hideMark/>
          </w:tcPr>
          <w:p w14:paraId="56821442" w14:textId="77777777" w:rsidR="000B599B" w:rsidRPr="0087487B" w:rsidRDefault="000B599B" w:rsidP="00314B37">
            <w:pPr>
              <w:pStyle w:val="NormalWeb"/>
              <w:jc w:val="left"/>
              <w:rPr>
                <w:sz w:val="18"/>
                <w:szCs w:val="18"/>
              </w:rPr>
            </w:pPr>
            <w:r w:rsidRPr="0087487B">
              <w:rPr>
                <w:sz w:val="18"/>
                <w:szCs w:val="18"/>
              </w:rPr>
              <w:t>No dose change needed. 600 mg/day. Increased risk of haematological toxicity and peripheral neuropathy.</w:t>
            </w:r>
          </w:p>
        </w:tc>
      </w:tr>
      <w:tr w:rsidR="000B599B" w:rsidRPr="0087487B" w14:paraId="36E569E6" w14:textId="77777777" w:rsidTr="00314B37">
        <w:trPr>
          <w:cnfStyle w:val="000000010000" w:firstRow="0" w:lastRow="0" w:firstColumn="0" w:lastColumn="0" w:oddVBand="0" w:evenVBand="0" w:oddHBand="0" w:evenHBand="1" w:firstRowFirstColumn="0" w:firstRowLastColumn="0" w:lastRowFirstColumn="0" w:lastRowLastColumn="0"/>
        </w:trPr>
        <w:tc>
          <w:tcPr>
            <w:tcW w:w="1560" w:type="dxa"/>
            <w:hideMark/>
          </w:tcPr>
          <w:p w14:paraId="35E383C2" w14:textId="77777777" w:rsidR="000B599B" w:rsidRPr="0087487B" w:rsidRDefault="000B599B" w:rsidP="00314B37">
            <w:pPr>
              <w:pStyle w:val="NormalWeb"/>
              <w:jc w:val="left"/>
              <w:rPr>
                <w:sz w:val="18"/>
                <w:szCs w:val="18"/>
              </w:rPr>
            </w:pPr>
            <w:r w:rsidRPr="0087487B">
              <w:rPr>
                <w:sz w:val="18"/>
                <w:szCs w:val="18"/>
              </w:rPr>
              <w:t>Clofazimine</w:t>
            </w:r>
          </w:p>
        </w:tc>
        <w:tc>
          <w:tcPr>
            <w:tcW w:w="8906" w:type="dxa"/>
            <w:hideMark/>
          </w:tcPr>
          <w:p w14:paraId="74428496" w14:textId="77777777" w:rsidR="000B599B" w:rsidRPr="0087487B" w:rsidRDefault="000B599B" w:rsidP="00314B37">
            <w:pPr>
              <w:pStyle w:val="NormalWeb"/>
              <w:jc w:val="left"/>
              <w:rPr>
                <w:sz w:val="18"/>
                <w:szCs w:val="18"/>
              </w:rPr>
            </w:pPr>
            <w:r w:rsidRPr="0087487B">
              <w:rPr>
                <w:sz w:val="18"/>
                <w:szCs w:val="18"/>
              </w:rPr>
              <w:t>No dose change needed. 100 mg/day. Monitor QTc.</w:t>
            </w:r>
          </w:p>
        </w:tc>
      </w:tr>
      <w:tr w:rsidR="000B599B" w:rsidRPr="0087487B" w14:paraId="570BD1FD" w14:textId="77777777" w:rsidTr="00314B37">
        <w:tc>
          <w:tcPr>
            <w:tcW w:w="1560" w:type="dxa"/>
            <w:hideMark/>
          </w:tcPr>
          <w:p w14:paraId="1A1C7CB1" w14:textId="77777777" w:rsidR="000B599B" w:rsidRPr="0087487B" w:rsidRDefault="000B599B" w:rsidP="00314B37">
            <w:pPr>
              <w:pStyle w:val="NormalWeb"/>
              <w:jc w:val="left"/>
              <w:rPr>
                <w:sz w:val="18"/>
                <w:szCs w:val="18"/>
              </w:rPr>
            </w:pPr>
            <w:proofErr w:type="spellStart"/>
            <w:r w:rsidRPr="0087487B">
              <w:rPr>
                <w:sz w:val="18"/>
                <w:szCs w:val="18"/>
              </w:rPr>
              <w:t>Cycloserine</w:t>
            </w:r>
            <w:proofErr w:type="spellEnd"/>
          </w:p>
        </w:tc>
        <w:tc>
          <w:tcPr>
            <w:tcW w:w="8906" w:type="dxa"/>
            <w:hideMark/>
          </w:tcPr>
          <w:p w14:paraId="51E84780" w14:textId="77777777" w:rsidR="000B599B" w:rsidRPr="0087487B" w:rsidRDefault="000B599B" w:rsidP="00314B37">
            <w:pPr>
              <w:pStyle w:val="NormalWeb"/>
              <w:jc w:val="left"/>
              <w:rPr>
                <w:sz w:val="18"/>
                <w:szCs w:val="18"/>
              </w:rPr>
            </w:pPr>
            <w:r w:rsidRPr="0087487B">
              <w:rPr>
                <w:b/>
                <w:bCs/>
                <w:sz w:val="18"/>
                <w:szCs w:val="18"/>
              </w:rPr>
              <w:t xml:space="preserve">AVOID if </w:t>
            </w:r>
            <w:proofErr w:type="gramStart"/>
            <w:r w:rsidRPr="0087487B">
              <w:rPr>
                <w:b/>
                <w:bCs/>
                <w:sz w:val="18"/>
                <w:szCs w:val="18"/>
              </w:rPr>
              <w:t>possible</w:t>
            </w:r>
            <w:proofErr w:type="gramEnd"/>
            <w:r w:rsidRPr="0087487B">
              <w:rPr>
                <w:sz w:val="18"/>
                <w:szCs w:val="18"/>
              </w:rPr>
              <w:t xml:space="preserve"> in severe renal disease as there is a significantly increased risk of neurotoxicity.</w:t>
            </w:r>
            <w:r w:rsidRPr="0087487B">
              <w:rPr>
                <w:sz w:val="18"/>
                <w:szCs w:val="18"/>
              </w:rPr>
              <w:br/>
              <w:t>Dose at 250 mg daily or 500 mg 3 times per week. Always use pyridoxine (vitamin B6) 50 mg to minimise the adverse CNS risk.</w:t>
            </w:r>
          </w:p>
        </w:tc>
      </w:tr>
      <w:tr w:rsidR="000B599B" w:rsidRPr="0087487B" w14:paraId="4FDBB0B9" w14:textId="77777777" w:rsidTr="00314B37">
        <w:trPr>
          <w:cnfStyle w:val="000000010000" w:firstRow="0" w:lastRow="0" w:firstColumn="0" w:lastColumn="0" w:oddVBand="0" w:evenVBand="0" w:oddHBand="0" w:evenHBand="1" w:firstRowFirstColumn="0" w:firstRowLastColumn="0" w:lastRowFirstColumn="0" w:lastRowLastColumn="0"/>
        </w:trPr>
        <w:tc>
          <w:tcPr>
            <w:tcW w:w="1560" w:type="dxa"/>
            <w:hideMark/>
          </w:tcPr>
          <w:p w14:paraId="7B83C49A" w14:textId="77777777" w:rsidR="000B599B" w:rsidRPr="0087487B" w:rsidRDefault="000B599B" w:rsidP="00314B37">
            <w:pPr>
              <w:pStyle w:val="NormalWeb"/>
              <w:jc w:val="left"/>
              <w:rPr>
                <w:sz w:val="18"/>
                <w:szCs w:val="18"/>
              </w:rPr>
            </w:pPr>
            <w:proofErr w:type="spellStart"/>
            <w:r w:rsidRPr="0087487B">
              <w:rPr>
                <w:sz w:val="18"/>
                <w:szCs w:val="18"/>
              </w:rPr>
              <w:t>Delamanid</w:t>
            </w:r>
            <w:proofErr w:type="spellEnd"/>
          </w:p>
        </w:tc>
        <w:tc>
          <w:tcPr>
            <w:tcW w:w="8906" w:type="dxa"/>
            <w:hideMark/>
          </w:tcPr>
          <w:p w14:paraId="091A4527" w14:textId="77777777" w:rsidR="000B599B" w:rsidRPr="0087487B" w:rsidRDefault="000B599B" w:rsidP="00314B37">
            <w:pPr>
              <w:pStyle w:val="NormalWeb"/>
              <w:jc w:val="left"/>
              <w:rPr>
                <w:sz w:val="18"/>
                <w:szCs w:val="18"/>
              </w:rPr>
            </w:pPr>
            <w:r w:rsidRPr="0087487B">
              <w:rPr>
                <w:sz w:val="18"/>
                <w:szCs w:val="18"/>
              </w:rPr>
              <w:t>No dose change needed in mild to moderate renal impairment. Use with caution in severe renal impairment.</w:t>
            </w:r>
          </w:p>
        </w:tc>
      </w:tr>
      <w:tr w:rsidR="000B599B" w:rsidRPr="0087487B" w14:paraId="43BB292A" w14:textId="77777777" w:rsidTr="00314B37">
        <w:tc>
          <w:tcPr>
            <w:tcW w:w="1560" w:type="dxa"/>
            <w:hideMark/>
          </w:tcPr>
          <w:p w14:paraId="3A1794F4" w14:textId="77777777" w:rsidR="000B599B" w:rsidRPr="0087487B" w:rsidRDefault="000B599B" w:rsidP="00314B37">
            <w:pPr>
              <w:pStyle w:val="NormalWeb"/>
              <w:jc w:val="left"/>
              <w:rPr>
                <w:sz w:val="18"/>
                <w:szCs w:val="18"/>
              </w:rPr>
            </w:pPr>
            <w:r w:rsidRPr="0087487B">
              <w:rPr>
                <w:sz w:val="18"/>
                <w:szCs w:val="18"/>
              </w:rPr>
              <w:lastRenderedPageBreak/>
              <w:t>Ethambutol</w:t>
            </w:r>
          </w:p>
        </w:tc>
        <w:tc>
          <w:tcPr>
            <w:tcW w:w="8906" w:type="dxa"/>
            <w:hideMark/>
          </w:tcPr>
          <w:p w14:paraId="35BA3620" w14:textId="77777777" w:rsidR="000B599B" w:rsidRPr="0087487B" w:rsidRDefault="000B599B" w:rsidP="00314B37">
            <w:pPr>
              <w:pStyle w:val="NormalWeb"/>
              <w:jc w:val="left"/>
              <w:rPr>
                <w:sz w:val="18"/>
                <w:szCs w:val="18"/>
              </w:rPr>
            </w:pPr>
            <w:r w:rsidRPr="0087487B">
              <w:rPr>
                <w:b/>
                <w:bCs/>
                <w:sz w:val="18"/>
                <w:szCs w:val="18"/>
              </w:rPr>
              <w:t xml:space="preserve">AVOID if </w:t>
            </w:r>
            <w:proofErr w:type="gramStart"/>
            <w:r w:rsidRPr="0087487B">
              <w:rPr>
                <w:b/>
                <w:bCs/>
                <w:sz w:val="18"/>
                <w:szCs w:val="18"/>
              </w:rPr>
              <w:t>possible</w:t>
            </w:r>
            <w:proofErr w:type="gramEnd"/>
            <w:r w:rsidRPr="0087487B">
              <w:rPr>
                <w:sz w:val="18"/>
                <w:szCs w:val="18"/>
              </w:rPr>
              <w:t xml:space="preserve"> as main route of clearance is renal. 15–25 mg/kg 3 times weekly, NOT daily. Optic nerve toxicity resulting in vision impairment is a significant concern.</w:t>
            </w:r>
          </w:p>
        </w:tc>
      </w:tr>
      <w:tr w:rsidR="000B599B" w:rsidRPr="0087487B" w14:paraId="1EFD8DE8" w14:textId="77777777" w:rsidTr="00314B37">
        <w:trPr>
          <w:cnfStyle w:val="000000010000" w:firstRow="0" w:lastRow="0" w:firstColumn="0" w:lastColumn="0" w:oddVBand="0" w:evenVBand="0" w:oddHBand="0" w:evenHBand="1" w:firstRowFirstColumn="0" w:firstRowLastColumn="0" w:lastRowFirstColumn="0" w:lastRowLastColumn="0"/>
        </w:trPr>
        <w:tc>
          <w:tcPr>
            <w:tcW w:w="1560" w:type="dxa"/>
            <w:hideMark/>
          </w:tcPr>
          <w:p w14:paraId="7E270B4B" w14:textId="77777777" w:rsidR="000B599B" w:rsidRPr="0087487B" w:rsidRDefault="000B599B" w:rsidP="00314B37">
            <w:pPr>
              <w:pStyle w:val="NormalWeb"/>
              <w:jc w:val="left"/>
              <w:rPr>
                <w:sz w:val="18"/>
                <w:szCs w:val="18"/>
              </w:rPr>
            </w:pPr>
            <w:r w:rsidRPr="0087487B">
              <w:rPr>
                <w:sz w:val="18"/>
                <w:szCs w:val="18"/>
              </w:rPr>
              <w:t>Pyrazinamide</w:t>
            </w:r>
          </w:p>
        </w:tc>
        <w:tc>
          <w:tcPr>
            <w:tcW w:w="8906" w:type="dxa"/>
            <w:hideMark/>
          </w:tcPr>
          <w:p w14:paraId="3AE930AF" w14:textId="77777777" w:rsidR="000B599B" w:rsidRPr="0087487B" w:rsidRDefault="000B599B" w:rsidP="00314B37">
            <w:pPr>
              <w:pStyle w:val="NormalWeb"/>
              <w:jc w:val="left"/>
              <w:rPr>
                <w:sz w:val="18"/>
                <w:szCs w:val="18"/>
              </w:rPr>
            </w:pPr>
            <w:r w:rsidRPr="0087487B">
              <w:rPr>
                <w:sz w:val="18"/>
                <w:szCs w:val="18"/>
              </w:rPr>
              <w:t xml:space="preserve">Can </w:t>
            </w:r>
            <w:proofErr w:type="gramStart"/>
            <w:r w:rsidRPr="0087487B">
              <w:rPr>
                <w:sz w:val="18"/>
                <w:szCs w:val="18"/>
              </w:rPr>
              <w:t>be used</w:t>
            </w:r>
            <w:proofErr w:type="gramEnd"/>
            <w:r w:rsidRPr="0087487B">
              <w:rPr>
                <w:sz w:val="18"/>
                <w:szCs w:val="18"/>
              </w:rPr>
              <w:t xml:space="preserve"> safely. 25 mg/kg </w:t>
            </w:r>
            <w:r w:rsidRPr="0087487B">
              <w:rPr>
                <w:b/>
                <w:bCs/>
                <w:sz w:val="18"/>
                <w:szCs w:val="18"/>
              </w:rPr>
              <w:t>3 times per week</w:t>
            </w:r>
            <w:r w:rsidRPr="0087487B">
              <w:rPr>
                <w:sz w:val="18"/>
                <w:szCs w:val="18"/>
              </w:rPr>
              <w:t>, NOT daily.</w:t>
            </w:r>
            <w:r w:rsidRPr="0087487B">
              <w:rPr>
                <w:sz w:val="18"/>
                <w:szCs w:val="18"/>
              </w:rPr>
              <w:br/>
              <w:t xml:space="preserve">Monitor LFTs and uric </w:t>
            </w:r>
            <w:proofErr w:type="gramStart"/>
            <w:r w:rsidRPr="0087487B">
              <w:rPr>
                <w:sz w:val="18"/>
                <w:szCs w:val="18"/>
              </w:rPr>
              <w:t>acid ;</w:t>
            </w:r>
            <w:proofErr w:type="gramEnd"/>
            <w:r w:rsidRPr="0087487B">
              <w:rPr>
                <w:sz w:val="18"/>
                <w:szCs w:val="18"/>
              </w:rPr>
              <w:t xml:space="preserve"> reduced uric acid clearance may lead to gout.</w:t>
            </w:r>
          </w:p>
        </w:tc>
      </w:tr>
      <w:tr w:rsidR="000B599B" w:rsidRPr="0087487B" w14:paraId="15E57910" w14:textId="77777777" w:rsidTr="00314B37">
        <w:tc>
          <w:tcPr>
            <w:tcW w:w="1560" w:type="dxa"/>
            <w:hideMark/>
          </w:tcPr>
          <w:p w14:paraId="0039B914" w14:textId="77777777" w:rsidR="000B599B" w:rsidRPr="0087487B" w:rsidRDefault="000B599B" w:rsidP="00314B37">
            <w:pPr>
              <w:pStyle w:val="NormalWeb"/>
              <w:jc w:val="left"/>
              <w:rPr>
                <w:sz w:val="18"/>
                <w:szCs w:val="18"/>
              </w:rPr>
            </w:pPr>
            <w:r w:rsidRPr="0087487B">
              <w:rPr>
                <w:sz w:val="18"/>
                <w:szCs w:val="18"/>
              </w:rPr>
              <w:t>Amikacin</w:t>
            </w:r>
          </w:p>
        </w:tc>
        <w:tc>
          <w:tcPr>
            <w:tcW w:w="8906" w:type="dxa"/>
            <w:hideMark/>
          </w:tcPr>
          <w:p w14:paraId="417DE5CB" w14:textId="77777777" w:rsidR="000B599B" w:rsidRPr="0087487B" w:rsidRDefault="000B599B" w:rsidP="00314B37">
            <w:pPr>
              <w:pStyle w:val="NormalWeb"/>
              <w:jc w:val="left"/>
              <w:rPr>
                <w:sz w:val="18"/>
                <w:szCs w:val="18"/>
              </w:rPr>
            </w:pPr>
            <w:r w:rsidRPr="0087487B">
              <w:rPr>
                <w:b/>
                <w:bCs/>
                <w:sz w:val="18"/>
                <w:szCs w:val="18"/>
              </w:rPr>
              <w:t>AVOID if possible</w:t>
            </w:r>
            <w:r w:rsidRPr="0087487B">
              <w:rPr>
                <w:sz w:val="18"/>
                <w:szCs w:val="18"/>
              </w:rPr>
              <w:t>. 12-15 mg/kg per dose 2-3 times per week, NOT daily.</w:t>
            </w:r>
            <w:r w:rsidRPr="0087487B">
              <w:rPr>
                <w:sz w:val="18"/>
                <w:szCs w:val="18"/>
              </w:rPr>
              <w:br/>
              <w:t xml:space="preserve">Strict monitoring of renal function, </w:t>
            </w:r>
            <w:proofErr w:type="gramStart"/>
            <w:r w:rsidRPr="0087487B">
              <w:rPr>
                <w:sz w:val="18"/>
                <w:szCs w:val="18"/>
              </w:rPr>
              <w:t>potassium</w:t>
            </w:r>
            <w:proofErr w:type="gramEnd"/>
            <w:r w:rsidRPr="0087487B">
              <w:rPr>
                <w:sz w:val="18"/>
                <w:szCs w:val="18"/>
              </w:rPr>
              <w:t xml:space="preserve"> and audiometry. Increased risk of nephrotoxicity and ototoxicity. Use with the anti-retroviral drug Tenofovir should </w:t>
            </w:r>
            <w:proofErr w:type="gramStart"/>
            <w:r w:rsidRPr="0087487B">
              <w:rPr>
                <w:sz w:val="18"/>
                <w:szCs w:val="18"/>
              </w:rPr>
              <w:t>be avoided</w:t>
            </w:r>
            <w:proofErr w:type="gramEnd"/>
            <w:r w:rsidRPr="0087487B">
              <w:rPr>
                <w:sz w:val="18"/>
                <w:szCs w:val="18"/>
              </w:rPr>
              <w:t xml:space="preserve"> as it can cause severe hypokalaemia.</w:t>
            </w:r>
          </w:p>
        </w:tc>
      </w:tr>
      <w:tr w:rsidR="000B599B" w:rsidRPr="0087487B" w14:paraId="6F957E3A" w14:textId="77777777" w:rsidTr="00314B37">
        <w:trPr>
          <w:cnfStyle w:val="000000010000" w:firstRow="0" w:lastRow="0" w:firstColumn="0" w:lastColumn="0" w:oddVBand="0" w:evenVBand="0" w:oddHBand="0" w:evenHBand="1" w:firstRowFirstColumn="0" w:firstRowLastColumn="0" w:lastRowFirstColumn="0" w:lastRowLastColumn="0"/>
        </w:trPr>
        <w:tc>
          <w:tcPr>
            <w:tcW w:w="1560" w:type="dxa"/>
            <w:hideMark/>
          </w:tcPr>
          <w:p w14:paraId="1F621449" w14:textId="77777777" w:rsidR="000B599B" w:rsidRPr="0087487B" w:rsidRDefault="000B599B" w:rsidP="00314B37">
            <w:pPr>
              <w:pStyle w:val="NormalWeb"/>
              <w:jc w:val="left"/>
              <w:rPr>
                <w:sz w:val="18"/>
                <w:szCs w:val="18"/>
              </w:rPr>
            </w:pPr>
            <w:proofErr w:type="spellStart"/>
            <w:r w:rsidRPr="0087487B">
              <w:rPr>
                <w:sz w:val="18"/>
                <w:szCs w:val="18"/>
              </w:rPr>
              <w:t>Prothionamide</w:t>
            </w:r>
            <w:proofErr w:type="spellEnd"/>
          </w:p>
        </w:tc>
        <w:tc>
          <w:tcPr>
            <w:tcW w:w="8906" w:type="dxa"/>
            <w:hideMark/>
          </w:tcPr>
          <w:p w14:paraId="10B0F436" w14:textId="77777777" w:rsidR="000B599B" w:rsidRPr="0087487B" w:rsidRDefault="000B599B" w:rsidP="00314B37">
            <w:pPr>
              <w:pStyle w:val="NormalWeb"/>
              <w:jc w:val="left"/>
              <w:rPr>
                <w:sz w:val="18"/>
                <w:szCs w:val="18"/>
              </w:rPr>
            </w:pPr>
            <w:r w:rsidRPr="0087487B">
              <w:rPr>
                <w:sz w:val="18"/>
                <w:szCs w:val="18"/>
              </w:rPr>
              <w:t>No dose change needed. 15–20 mg/kg/day in divided doses.</w:t>
            </w:r>
          </w:p>
        </w:tc>
      </w:tr>
    </w:tbl>
    <w:p w14:paraId="3EE91C82" w14:textId="77777777" w:rsidR="008B5348" w:rsidRPr="0087487B" w:rsidRDefault="008B5348">
      <w:pPr>
        <w:rPr>
          <w:rStyle w:val="A10"/>
        </w:rPr>
        <w:sectPr w:rsidR="008B5348" w:rsidRPr="0087487B" w:rsidSect="00A30C37">
          <w:headerReference w:type="default" r:id="rId10"/>
          <w:footerReference w:type="default" r:id="rId11"/>
          <w:footerReference w:type="first" r:id="rId12"/>
          <w:footnotePr>
            <w:numFmt w:val="lowerRoman"/>
            <w:numStart w:val="3"/>
          </w:footnotePr>
          <w:pgSz w:w="11906" w:h="16838"/>
          <w:pgMar w:top="720" w:right="720" w:bottom="1134" w:left="720" w:header="709" w:footer="284" w:gutter="0"/>
          <w:cols w:space="708"/>
          <w:titlePg/>
          <w:docGrid w:linePitch="360"/>
        </w:sectPr>
      </w:pPr>
    </w:p>
    <w:p w14:paraId="0FF784D1" w14:textId="77777777" w:rsidR="000A5F42" w:rsidRPr="0087487B" w:rsidRDefault="000A5F42" w:rsidP="000A5F42">
      <w:pPr>
        <w:pStyle w:val="NoSpacing"/>
        <w:rPr>
          <w:rFonts w:cstheme="minorHAnsi"/>
          <w:sz w:val="18"/>
          <w:szCs w:val="18"/>
        </w:rPr>
      </w:pPr>
      <w:r w:rsidRPr="0087487B">
        <w:rPr>
          <w:rStyle w:val="Strong"/>
          <w:bCs w:val="0"/>
          <w:sz w:val="20"/>
        </w:rPr>
        <w:lastRenderedPageBreak/>
        <w:t>Communicable Diseases Intelligence</w:t>
      </w:r>
    </w:p>
    <w:p w14:paraId="25AEF462" w14:textId="77777777" w:rsidR="000A5F42" w:rsidRPr="0087487B" w:rsidRDefault="000A5F42" w:rsidP="000A5F42">
      <w:pPr>
        <w:pStyle w:val="NoSpacing"/>
        <w:rPr>
          <w:rFonts w:cstheme="minorHAnsi"/>
          <w:sz w:val="20"/>
          <w:szCs w:val="18"/>
        </w:rPr>
      </w:pPr>
      <w:r w:rsidRPr="0087487B">
        <w:rPr>
          <w:rFonts w:cstheme="minorHAnsi"/>
          <w:sz w:val="20"/>
          <w:szCs w:val="18"/>
        </w:rPr>
        <w:t>ISSN: 2209-6051 Online</w:t>
      </w:r>
    </w:p>
    <w:p w14:paraId="43E21EC1" w14:textId="77777777" w:rsidR="000A5F42" w:rsidRPr="0087487B" w:rsidRDefault="000A5F42" w:rsidP="000A5F42">
      <w:pPr>
        <w:pStyle w:val="NoSpacing"/>
        <w:rPr>
          <w:rStyle w:val="URI"/>
          <w:rFonts w:cstheme="minorHAnsi"/>
          <w:sz w:val="20"/>
          <w:szCs w:val="18"/>
        </w:rPr>
      </w:pPr>
    </w:p>
    <w:p w14:paraId="54C2B312" w14:textId="77777777" w:rsidR="000A5F42" w:rsidRPr="0087487B" w:rsidRDefault="000A5F42" w:rsidP="000A5F42">
      <w:pPr>
        <w:pStyle w:val="NoSpacing"/>
        <w:rPr>
          <w:rStyle w:val="Strong"/>
          <w:rFonts w:cs="Calibri"/>
          <w:sz w:val="20"/>
          <w:szCs w:val="18"/>
        </w:rPr>
      </w:pPr>
      <w:r w:rsidRPr="0087487B">
        <w:rPr>
          <w:rStyle w:val="Strong"/>
          <w:rFonts w:cs="Calibri"/>
          <w:b w:val="0"/>
          <w:bCs w:val="0"/>
          <w:sz w:val="20"/>
          <w:szCs w:val="18"/>
        </w:rPr>
        <w:t xml:space="preserve">Communicable Diseases Intelligence (CDI) is a peer-reviewed scientific journal published by the Office of Health Protection, </w:t>
      </w:r>
      <w:r w:rsidR="001723AC" w:rsidRPr="0087487B">
        <w:rPr>
          <w:rStyle w:val="Strong"/>
          <w:rFonts w:cs="Calibri"/>
          <w:b w:val="0"/>
          <w:bCs w:val="0"/>
          <w:sz w:val="20"/>
          <w:szCs w:val="18"/>
        </w:rPr>
        <w:t xml:space="preserve">Department of </w:t>
      </w:r>
      <w:proofErr w:type="gramStart"/>
      <w:r w:rsidR="001723AC" w:rsidRPr="0087487B">
        <w:rPr>
          <w:rStyle w:val="Strong"/>
          <w:rFonts w:cs="Calibri"/>
          <w:b w:val="0"/>
          <w:bCs w:val="0"/>
          <w:sz w:val="20"/>
          <w:szCs w:val="18"/>
        </w:rPr>
        <w:t>Health</w:t>
      </w:r>
      <w:proofErr w:type="gramEnd"/>
      <w:r w:rsidR="001723AC" w:rsidRPr="0087487B">
        <w:rPr>
          <w:rStyle w:val="Strong"/>
          <w:rFonts w:cs="Calibri"/>
          <w:b w:val="0"/>
          <w:bCs w:val="0"/>
          <w:sz w:val="20"/>
          <w:szCs w:val="18"/>
        </w:rPr>
        <w:t xml:space="preserve"> and Aged Care</w:t>
      </w:r>
      <w:r w:rsidRPr="0087487B">
        <w:rPr>
          <w:rStyle w:val="Strong"/>
          <w:rFonts w:cs="Calibri"/>
          <w:b w:val="0"/>
          <w:bCs w:val="0"/>
          <w:sz w:val="20"/>
          <w:szCs w:val="18"/>
        </w:rPr>
        <w:t xml:space="preserve">. The journal aims to </w:t>
      </w:r>
      <w:proofErr w:type="gramStart"/>
      <w:r w:rsidRPr="0087487B">
        <w:rPr>
          <w:rStyle w:val="Strong"/>
          <w:rFonts w:cs="Calibri"/>
          <w:b w:val="0"/>
          <w:bCs w:val="0"/>
          <w:sz w:val="20"/>
          <w:szCs w:val="18"/>
        </w:rPr>
        <w:t>disseminate</w:t>
      </w:r>
      <w:proofErr w:type="gramEnd"/>
      <w:r w:rsidRPr="0087487B">
        <w:rPr>
          <w:rStyle w:val="Strong"/>
          <w:rFonts w:cs="Calibri"/>
          <w:b w:val="0"/>
          <w:bCs w:val="0"/>
          <w:sz w:val="20"/>
          <w:szCs w:val="18"/>
        </w:rPr>
        <w:t xml:space="preserve"> information on the epidemiology, surveillance, prevention and control of communicable diseases of relevance to Australia.</w:t>
      </w:r>
    </w:p>
    <w:p w14:paraId="4C5C9507" w14:textId="77777777" w:rsidR="000A5F42" w:rsidRPr="0087487B" w:rsidRDefault="000A5F42" w:rsidP="000A5F42">
      <w:pPr>
        <w:pStyle w:val="NoSpacing"/>
        <w:rPr>
          <w:rStyle w:val="Strong"/>
          <w:rFonts w:cstheme="minorHAnsi"/>
          <w:sz w:val="20"/>
          <w:szCs w:val="18"/>
        </w:rPr>
      </w:pPr>
    </w:p>
    <w:p w14:paraId="16CDFF11" w14:textId="77777777" w:rsidR="000A5F42" w:rsidRPr="0087487B" w:rsidRDefault="000A5F42" w:rsidP="000A5F42">
      <w:pPr>
        <w:pStyle w:val="NoSpacing"/>
        <w:rPr>
          <w:rFonts w:cstheme="minorHAnsi"/>
          <w:sz w:val="20"/>
          <w:szCs w:val="18"/>
        </w:rPr>
      </w:pPr>
      <w:r w:rsidRPr="0087487B">
        <w:rPr>
          <w:rStyle w:val="Strong"/>
          <w:rFonts w:cstheme="minorHAnsi"/>
          <w:sz w:val="20"/>
          <w:szCs w:val="18"/>
        </w:rPr>
        <w:t xml:space="preserve">Editor: </w:t>
      </w:r>
      <w:r w:rsidR="008B62FF" w:rsidRPr="0087487B">
        <w:rPr>
          <w:rFonts w:cstheme="minorHAnsi"/>
          <w:sz w:val="20"/>
          <w:szCs w:val="18"/>
        </w:rPr>
        <w:t>Christina Bareja</w:t>
      </w:r>
    </w:p>
    <w:p w14:paraId="77BEFAA0" w14:textId="77777777" w:rsidR="000A5F42" w:rsidRPr="0087487B" w:rsidRDefault="000A5F42" w:rsidP="000A5F42">
      <w:pPr>
        <w:pStyle w:val="NoSpacing"/>
        <w:rPr>
          <w:rFonts w:cstheme="minorHAnsi"/>
          <w:sz w:val="20"/>
          <w:szCs w:val="18"/>
        </w:rPr>
      </w:pPr>
      <w:r w:rsidRPr="0087487B">
        <w:rPr>
          <w:rStyle w:val="Strong"/>
          <w:rFonts w:cstheme="minorHAnsi"/>
          <w:sz w:val="20"/>
          <w:szCs w:val="18"/>
        </w:rPr>
        <w:t xml:space="preserve">Deputy Editor: </w:t>
      </w:r>
      <w:r w:rsidR="00C838F5" w:rsidRPr="0087487B">
        <w:rPr>
          <w:rFonts w:cstheme="minorHAnsi"/>
          <w:sz w:val="20"/>
          <w:szCs w:val="18"/>
        </w:rPr>
        <w:t>Simon Petrie</w:t>
      </w:r>
    </w:p>
    <w:p w14:paraId="74A1C8F4" w14:textId="77777777" w:rsidR="000A5F42" w:rsidRPr="0087487B" w:rsidRDefault="00967410" w:rsidP="000A5F42">
      <w:pPr>
        <w:pStyle w:val="NoSpacing"/>
        <w:rPr>
          <w:rFonts w:cstheme="minorHAnsi"/>
          <w:sz w:val="20"/>
          <w:szCs w:val="18"/>
        </w:rPr>
      </w:pPr>
      <w:r w:rsidRPr="0087487B">
        <w:rPr>
          <w:rStyle w:val="Strong"/>
          <w:rFonts w:cstheme="minorHAnsi"/>
          <w:sz w:val="20"/>
          <w:szCs w:val="18"/>
        </w:rPr>
        <w:t>Design</w:t>
      </w:r>
      <w:r w:rsidR="000A5F42" w:rsidRPr="0087487B">
        <w:rPr>
          <w:rStyle w:val="Strong"/>
          <w:rFonts w:cstheme="minorHAnsi"/>
          <w:sz w:val="20"/>
          <w:szCs w:val="18"/>
        </w:rPr>
        <w:t xml:space="preserve"> and Production: </w:t>
      </w:r>
      <w:r w:rsidR="000A5F42" w:rsidRPr="0087487B">
        <w:rPr>
          <w:rFonts w:cstheme="minorHAnsi"/>
          <w:sz w:val="20"/>
          <w:szCs w:val="18"/>
        </w:rPr>
        <w:t>Kasra Yousefi</w:t>
      </w:r>
    </w:p>
    <w:p w14:paraId="7DA72A27" w14:textId="77777777" w:rsidR="000A5F42" w:rsidRPr="0087487B" w:rsidRDefault="000A5F42" w:rsidP="000A5F42">
      <w:pPr>
        <w:pStyle w:val="NoSpacing"/>
        <w:rPr>
          <w:rFonts w:cstheme="minorHAnsi"/>
          <w:b/>
          <w:bCs/>
          <w:sz w:val="20"/>
          <w:szCs w:val="18"/>
        </w:rPr>
      </w:pPr>
      <w:r w:rsidRPr="0087487B">
        <w:rPr>
          <w:rStyle w:val="Strong"/>
          <w:rFonts w:cstheme="minorHAnsi"/>
          <w:sz w:val="20"/>
          <w:szCs w:val="18"/>
        </w:rPr>
        <w:t xml:space="preserve">Editorial Advisory Board: </w:t>
      </w:r>
      <w:r w:rsidR="00CF75DF" w:rsidRPr="0087487B">
        <w:rPr>
          <w:rFonts w:cstheme="minorHAnsi"/>
          <w:sz w:val="20"/>
          <w:szCs w:val="18"/>
        </w:rPr>
        <w:t xml:space="preserve">David Durrheim, Mark Ferson, Clare Huppatz, John Kaldor, Martyn Kirk, Meru </w:t>
      </w:r>
      <w:proofErr w:type="gramStart"/>
      <w:r w:rsidR="00CF75DF" w:rsidRPr="0087487B">
        <w:rPr>
          <w:rFonts w:cstheme="minorHAnsi"/>
          <w:sz w:val="20"/>
          <w:szCs w:val="18"/>
        </w:rPr>
        <w:t>Sheel</w:t>
      </w:r>
      <w:proofErr w:type="gramEnd"/>
      <w:r w:rsidR="00CF75DF" w:rsidRPr="0087487B">
        <w:rPr>
          <w:rFonts w:cstheme="minorHAnsi"/>
          <w:sz w:val="20"/>
          <w:szCs w:val="18"/>
        </w:rPr>
        <w:t xml:space="preserve"> and Steph Williams</w:t>
      </w:r>
    </w:p>
    <w:p w14:paraId="11092191" w14:textId="77777777" w:rsidR="000A5F42" w:rsidRPr="0087487B" w:rsidRDefault="000A5F42" w:rsidP="000A5F42">
      <w:pPr>
        <w:pStyle w:val="NoSpacing"/>
        <w:rPr>
          <w:rStyle w:val="Strong"/>
          <w:rFonts w:cstheme="minorHAnsi"/>
          <w:sz w:val="20"/>
          <w:szCs w:val="18"/>
        </w:rPr>
      </w:pPr>
    </w:p>
    <w:p w14:paraId="265973D8" w14:textId="742AB183" w:rsidR="000A5F42" w:rsidRPr="0087487B" w:rsidRDefault="000A5F42" w:rsidP="000A5F42">
      <w:pPr>
        <w:pStyle w:val="NoSpacing"/>
        <w:rPr>
          <w:rStyle w:val="URI"/>
          <w:rFonts w:cstheme="minorHAnsi"/>
          <w:sz w:val="20"/>
          <w:szCs w:val="18"/>
        </w:rPr>
      </w:pPr>
      <w:r w:rsidRPr="0087487B">
        <w:rPr>
          <w:rStyle w:val="Strong"/>
          <w:rFonts w:cstheme="minorHAnsi"/>
          <w:sz w:val="20"/>
          <w:szCs w:val="18"/>
        </w:rPr>
        <w:t>Website</w:t>
      </w:r>
      <w:r w:rsidRPr="0087487B">
        <w:rPr>
          <w:rFonts w:cstheme="minorHAnsi"/>
          <w:sz w:val="20"/>
          <w:szCs w:val="18"/>
        </w:rPr>
        <w:t xml:space="preserve">: </w:t>
      </w:r>
      <w:hyperlink r:id="rId13" w:tooltip="CDI website" w:history="1">
        <w:r w:rsidRPr="0087487B">
          <w:rPr>
            <w:rStyle w:val="Hyperlink"/>
            <w:rFonts w:cstheme="minorHAnsi"/>
            <w:sz w:val="20"/>
            <w:szCs w:val="18"/>
          </w:rPr>
          <w:t>http://www.health.gov.au/cdi</w:t>
        </w:r>
      </w:hyperlink>
      <w:r w:rsidRPr="0087487B">
        <w:rPr>
          <w:rStyle w:val="URI"/>
          <w:rFonts w:cstheme="minorHAnsi"/>
          <w:sz w:val="20"/>
          <w:szCs w:val="18"/>
        </w:rPr>
        <w:t xml:space="preserve"> </w:t>
      </w:r>
    </w:p>
    <w:p w14:paraId="50BDF9D6" w14:textId="77777777" w:rsidR="000A5F42" w:rsidRPr="0087487B" w:rsidRDefault="000A5F42" w:rsidP="000A5F42">
      <w:pPr>
        <w:pStyle w:val="NoSpacing"/>
        <w:rPr>
          <w:rStyle w:val="Strong"/>
          <w:rFonts w:cstheme="minorHAnsi"/>
          <w:sz w:val="20"/>
          <w:szCs w:val="18"/>
        </w:rPr>
      </w:pPr>
    </w:p>
    <w:p w14:paraId="232674D0" w14:textId="77777777" w:rsidR="000A5F42" w:rsidRPr="0087487B" w:rsidRDefault="000A5F42" w:rsidP="00E54BBD">
      <w:pPr>
        <w:pStyle w:val="NoSpacing"/>
        <w:rPr>
          <w:rFonts w:cstheme="minorHAnsi"/>
          <w:sz w:val="20"/>
          <w:szCs w:val="18"/>
        </w:rPr>
      </w:pPr>
      <w:r w:rsidRPr="0087487B">
        <w:rPr>
          <w:rStyle w:val="Strong"/>
          <w:rFonts w:cstheme="minorHAnsi"/>
          <w:sz w:val="20"/>
          <w:szCs w:val="18"/>
        </w:rPr>
        <w:t>Contacts</w:t>
      </w:r>
      <w:r w:rsidRPr="0087487B">
        <w:rPr>
          <w:rStyle w:val="Strong"/>
          <w:rFonts w:cstheme="minorHAnsi"/>
          <w:sz w:val="20"/>
          <w:szCs w:val="18"/>
        </w:rPr>
        <w:br/>
      </w:r>
      <w:r w:rsidR="00E54BBD" w:rsidRPr="0087487B">
        <w:rPr>
          <w:rFonts w:cstheme="minorHAnsi"/>
          <w:sz w:val="20"/>
          <w:szCs w:val="18"/>
        </w:rPr>
        <w:t xml:space="preserve">CDI </w:t>
      </w:r>
      <w:proofErr w:type="gramStart"/>
      <w:r w:rsidR="00E54BBD" w:rsidRPr="0087487B">
        <w:rPr>
          <w:rFonts w:cstheme="minorHAnsi"/>
          <w:sz w:val="20"/>
          <w:szCs w:val="18"/>
        </w:rPr>
        <w:t>is produced</w:t>
      </w:r>
      <w:proofErr w:type="gramEnd"/>
      <w:r w:rsidR="00E54BBD" w:rsidRPr="0087487B">
        <w:rPr>
          <w:rFonts w:cstheme="minorHAnsi"/>
          <w:sz w:val="20"/>
          <w:szCs w:val="18"/>
        </w:rPr>
        <w:t xml:space="preserve"> by</w:t>
      </w:r>
      <w:r w:rsidR="00F74958" w:rsidRPr="0087487B">
        <w:rPr>
          <w:rFonts w:cstheme="minorHAnsi"/>
          <w:sz w:val="20"/>
          <w:szCs w:val="18"/>
        </w:rPr>
        <w:t xml:space="preserve"> the</w:t>
      </w:r>
      <w:r w:rsidR="00E54BBD" w:rsidRPr="0087487B">
        <w:rPr>
          <w:rFonts w:cstheme="minorHAnsi"/>
          <w:sz w:val="20"/>
          <w:szCs w:val="18"/>
        </w:rPr>
        <w:t xml:space="preserve"> Office of Health Protection, Australian Government Department of Health</w:t>
      </w:r>
      <w:r w:rsidR="00AE0209" w:rsidRPr="0087487B">
        <w:rPr>
          <w:rFonts w:cstheme="minorHAnsi"/>
          <w:sz w:val="20"/>
          <w:szCs w:val="18"/>
        </w:rPr>
        <w:t xml:space="preserve"> and Aged Care</w:t>
      </w:r>
      <w:r w:rsidR="00E54BBD" w:rsidRPr="0087487B">
        <w:rPr>
          <w:rFonts w:cstheme="minorHAnsi"/>
          <w:sz w:val="20"/>
          <w:szCs w:val="18"/>
        </w:rPr>
        <w:t>, GPO Box 9848, (MDP 6) CANBERRA ACT 2601</w:t>
      </w:r>
    </w:p>
    <w:p w14:paraId="155C22E3" w14:textId="77777777" w:rsidR="000A5F42" w:rsidRPr="0087487B" w:rsidRDefault="000A5F42" w:rsidP="000A5F42">
      <w:pPr>
        <w:pStyle w:val="NoSpacing"/>
        <w:rPr>
          <w:rStyle w:val="Strong"/>
          <w:rFonts w:cstheme="minorHAnsi"/>
          <w:sz w:val="20"/>
          <w:szCs w:val="18"/>
        </w:rPr>
      </w:pPr>
    </w:p>
    <w:p w14:paraId="0AB31158" w14:textId="5D9062B6" w:rsidR="000A5F42" w:rsidRPr="0087487B" w:rsidRDefault="000A5F42" w:rsidP="000A5F42">
      <w:pPr>
        <w:pStyle w:val="NoSpacing"/>
        <w:rPr>
          <w:rStyle w:val="URI"/>
          <w:rFonts w:cstheme="minorHAnsi"/>
          <w:sz w:val="20"/>
          <w:szCs w:val="18"/>
        </w:rPr>
      </w:pPr>
      <w:r w:rsidRPr="0087487B">
        <w:rPr>
          <w:rStyle w:val="Strong"/>
          <w:rFonts w:cstheme="minorHAnsi"/>
          <w:sz w:val="20"/>
          <w:szCs w:val="18"/>
        </w:rPr>
        <w:t xml:space="preserve">Email: </w:t>
      </w:r>
      <w:hyperlink r:id="rId14" w:history="1">
        <w:r w:rsidRPr="0087487B">
          <w:rPr>
            <w:rStyle w:val="Hyperlink"/>
            <w:rFonts w:cstheme="minorHAnsi"/>
            <w:sz w:val="20"/>
            <w:szCs w:val="18"/>
          </w:rPr>
          <w:t>cdi.editor@health.gov.au</w:t>
        </w:r>
      </w:hyperlink>
      <w:r w:rsidRPr="0087487B">
        <w:rPr>
          <w:rStyle w:val="URI"/>
          <w:rFonts w:cstheme="minorHAnsi"/>
          <w:sz w:val="20"/>
          <w:szCs w:val="18"/>
        </w:rPr>
        <w:t xml:space="preserve"> </w:t>
      </w:r>
    </w:p>
    <w:p w14:paraId="12AD1D43" w14:textId="77777777" w:rsidR="000A5F42" w:rsidRPr="0087487B" w:rsidRDefault="000A5F42" w:rsidP="000A5F42">
      <w:pPr>
        <w:pStyle w:val="NoSpacing"/>
        <w:rPr>
          <w:rStyle w:val="Strong"/>
          <w:rFonts w:cstheme="minorHAnsi"/>
          <w:sz w:val="20"/>
          <w:szCs w:val="18"/>
        </w:rPr>
      </w:pPr>
    </w:p>
    <w:p w14:paraId="164840F9" w14:textId="2BFA6BB2" w:rsidR="000A5F42" w:rsidRPr="0087487B" w:rsidRDefault="000A5F42" w:rsidP="000A5F42">
      <w:pPr>
        <w:pStyle w:val="NoSpacing"/>
        <w:rPr>
          <w:rFonts w:cstheme="minorHAnsi"/>
          <w:sz w:val="20"/>
          <w:szCs w:val="18"/>
        </w:rPr>
      </w:pPr>
      <w:r w:rsidRPr="0087487B">
        <w:rPr>
          <w:rStyle w:val="Strong"/>
          <w:rFonts w:cstheme="minorHAnsi"/>
          <w:sz w:val="20"/>
          <w:szCs w:val="18"/>
        </w:rPr>
        <w:t xml:space="preserve">Submit an </w:t>
      </w:r>
      <w:proofErr w:type="gramStart"/>
      <w:r w:rsidRPr="0087487B">
        <w:rPr>
          <w:rStyle w:val="Strong"/>
          <w:rFonts w:cstheme="minorHAnsi"/>
          <w:sz w:val="20"/>
          <w:szCs w:val="18"/>
        </w:rPr>
        <w:t>Article</w:t>
      </w:r>
      <w:proofErr w:type="gramEnd"/>
      <w:r w:rsidRPr="0087487B">
        <w:rPr>
          <w:rStyle w:val="Strong"/>
          <w:rFonts w:cstheme="minorHAnsi"/>
          <w:sz w:val="20"/>
          <w:szCs w:val="18"/>
        </w:rPr>
        <w:br/>
      </w:r>
      <w:r w:rsidRPr="0087487B">
        <w:rPr>
          <w:rFonts w:cstheme="minorHAnsi"/>
          <w:sz w:val="20"/>
          <w:szCs w:val="18"/>
        </w:rPr>
        <w:t xml:space="preserve">You are invited to submit your next communicable disease related article to the Communicable Diseases Intelligence (CDI) for consideration. More information </w:t>
      </w:r>
      <w:proofErr w:type="gramStart"/>
      <w:r w:rsidRPr="0087487B">
        <w:rPr>
          <w:rFonts w:cstheme="minorHAnsi"/>
          <w:sz w:val="20"/>
          <w:szCs w:val="18"/>
        </w:rPr>
        <w:t>regarding</w:t>
      </w:r>
      <w:proofErr w:type="gramEnd"/>
      <w:r w:rsidRPr="0087487B">
        <w:rPr>
          <w:rFonts w:cstheme="minorHAnsi"/>
          <w:sz w:val="20"/>
          <w:szCs w:val="18"/>
        </w:rPr>
        <w:t xml:space="preserve"> CDI can be found at: </w:t>
      </w:r>
      <w:hyperlink r:id="rId15" w:tooltip="CDI Website" w:history="1">
        <w:r w:rsidRPr="0087487B">
          <w:rPr>
            <w:rStyle w:val="Hyperlink"/>
            <w:rFonts w:cstheme="minorHAnsi"/>
            <w:sz w:val="20"/>
            <w:szCs w:val="18"/>
          </w:rPr>
          <w:t>http://health.gov.au/cdi</w:t>
        </w:r>
      </w:hyperlink>
      <w:r w:rsidRPr="0087487B">
        <w:rPr>
          <w:rFonts w:cstheme="minorHAnsi"/>
          <w:sz w:val="20"/>
          <w:szCs w:val="18"/>
        </w:rPr>
        <w:t xml:space="preserve">. </w:t>
      </w:r>
    </w:p>
    <w:p w14:paraId="6CF15BAF" w14:textId="766893C9" w:rsidR="000A5F42" w:rsidRPr="0087487B" w:rsidRDefault="000A5F42" w:rsidP="000A5F42">
      <w:pPr>
        <w:pStyle w:val="NoSpacing"/>
        <w:rPr>
          <w:rFonts w:cstheme="minorHAnsi"/>
          <w:sz w:val="20"/>
          <w:szCs w:val="18"/>
        </w:rPr>
      </w:pPr>
      <w:r w:rsidRPr="0087487B">
        <w:rPr>
          <w:rFonts w:cstheme="minorHAnsi"/>
          <w:sz w:val="20"/>
          <w:szCs w:val="18"/>
        </w:rPr>
        <w:t xml:space="preserve">Further enquiries should </w:t>
      </w:r>
      <w:proofErr w:type="gramStart"/>
      <w:r w:rsidRPr="0087487B">
        <w:rPr>
          <w:rFonts w:cstheme="minorHAnsi"/>
          <w:sz w:val="20"/>
          <w:szCs w:val="18"/>
        </w:rPr>
        <w:t>be directed</w:t>
      </w:r>
      <w:proofErr w:type="gramEnd"/>
      <w:r w:rsidRPr="0087487B">
        <w:rPr>
          <w:rFonts w:cstheme="minorHAnsi"/>
          <w:sz w:val="20"/>
          <w:szCs w:val="18"/>
        </w:rPr>
        <w:t xml:space="preserve"> to: </w:t>
      </w:r>
      <w:hyperlink r:id="rId16" w:history="1">
        <w:r w:rsidRPr="0087487B">
          <w:rPr>
            <w:rStyle w:val="Hyperlink"/>
            <w:rFonts w:cstheme="minorHAnsi"/>
            <w:sz w:val="20"/>
            <w:szCs w:val="18"/>
          </w:rPr>
          <w:t>cdi.editor@health.gov.au</w:t>
        </w:r>
      </w:hyperlink>
      <w:r w:rsidRPr="0087487B">
        <w:rPr>
          <w:rFonts w:cstheme="minorHAnsi"/>
          <w:sz w:val="20"/>
          <w:szCs w:val="18"/>
        </w:rPr>
        <w:t>.</w:t>
      </w:r>
    </w:p>
    <w:p w14:paraId="02573081" w14:textId="77777777" w:rsidR="000A5F42" w:rsidRPr="0087487B" w:rsidRDefault="000A5F42" w:rsidP="000A5F42">
      <w:pPr>
        <w:pStyle w:val="NoSpacing"/>
        <w:pBdr>
          <w:bottom w:val="single" w:sz="6" w:space="1" w:color="auto"/>
        </w:pBdr>
        <w:rPr>
          <w:rStyle w:val="Strong"/>
          <w:rFonts w:cstheme="minorHAnsi"/>
          <w:sz w:val="12"/>
          <w:szCs w:val="18"/>
        </w:rPr>
      </w:pPr>
    </w:p>
    <w:p w14:paraId="65EC75F0" w14:textId="77777777" w:rsidR="000A5F42" w:rsidRPr="0087487B" w:rsidRDefault="000A5F42" w:rsidP="000A5F42">
      <w:pPr>
        <w:pStyle w:val="NoSpacing"/>
        <w:rPr>
          <w:rFonts w:cstheme="minorHAnsi"/>
          <w:sz w:val="20"/>
          <w:szCs w:val="18"/>
        </w:rPr>
      </w:pPr>
    </w:p>
    <w:p w14:paraId="3B75776B" w14:textId="77777777" w:rsidR="000A5F42" w:rsidRPr="0087487B" w:rsidRDefault="000A5F42" w:rsidP="000A5F42">
      <w:pPr>
        <w:pStyle w:val="NoSpacing"/>
        <w:rPr>
          <w:rFonts w:cstheme="minorHAnsi"/>
          <w:sz w:val="20"/>
          <w:szCs w:val="18"/>
        </w:rPr>
      </w:pPr>
      <w:r w:rsidRPr="0087487B">
        <w:rPr>
          <w:rFonts w:cstheme="minorHAnsi"/>
          <w:sz w:val="20"/>
          <w:szCs w:val="18"/>
        </w:rPr>
        <w:t xml:space="preserve">This journal </w:t>
      </w:r>
      <w:proofErr w:type="gramStart"/>
      <w:r w:rsidRPr="0087487B">
        <w:rPr>
          <w:rFonts w:cstheme="minorHAnsi"/>
          <w:sz w:val="20"/>
          <w:szCs w:val="18"/>
        </w:rPr>
        <w:t>is indexed</w:t>
      </w:r>
      <w:proofErr w:type="gramEnd"/>
      <w:r w:rsidRPr="0087487B">
        <w:rPr>
          <w:rFonts w:cstheme="minorHAnsi"/>
          <w:sz w:val="20"/>
          <w:szCs w:val="18"/>
        </w:rPr>
        <w:t xml:space="preserve"> by Index </w:t>
      </w:r>
      <w:proofErr w:type="spellStart"/>
      <w:r w:rsidRPr="0087487B">
        <w:rPr>
          <w:rFonts w:cstheme="minorHAnsi"/>
          <w:sz w:val="20"/>
          <w:szCs w:val="18"/>
        </w:rPr>
        <w:t>Medicus</w:t>
      </w:r>
      <w:proofErr w:type="spellEnd"/>
      <w:r w:rsidRPr="0087487B">
        <w:rPr>
          <w:rFonts w:cstheme="minorHAnsi"/>
          <w:sz w:val="20"/>
          <w:szCs w:val="18"/>
        </w:rPr>
        <w:t xml:space="preserve"> and Medline.</w:t>
      </w:r>
    </w:p>
    <w:p w14:paraId="24731EB0" w14:textId="77777777" w:rsidR="000A5F42" w:rsidRPr="0087487B" w:rsidRDefault="000A5F42" w:rsidP="000A5F42">
      <w:pPr>
        <w:pStyle w:val="NoSpacing"/>
        <w:rPr>
          <w:rFonts w:cstheme="minorHAnsi"/>
          <w:sz w:val="20"/>
          <w:szCs w:val="18"/>
        </w:rPr>
      </w:pPr>
    </w:p>
    <w:p w14:paraId="6F6CFF1B" w14:textId="77777777" w:rsidR="000A5F42" w:rsidRPr="0087487B" w:rsidRDefault="000A5F42" w:rsidP="000A5F42">
      <w:pPr>
        <w:pStyle w:val="NoSpacing"/>
        <w:rPr>
          <w:rFonts w:cstheme="minorHAnsi"/>
          <w:sz w:val="20"/>
          <w:szCs w:val="18"/>
        </w:rPr>
      </w:pPr>
      <w:r w:rsidRPr="0087487B">
        <w:rPr>
          <w:rFonts w:cstheme="minorHAnsi"/>
          <w:sz w:val="20"/>
          <w:szCs w:val="18"/>
        </w:rPr>
        <w:t>Creative Commons Licence - Attribution-</w:t>
      </w:r>
      <w:proofErr w:type="spellStart"/>
      <w:r w:rsidRPr="0087487B">
        <w:rPr>
          <w:rFonts w:cstheme="minorHAnsi"/>
          <w:sz w:val="20"/>
          <w:szCs w:val="18"/>
        </w:rPr>
        <w:t>NonCommercial</w:t>
      </w:r>
      <w:proofErr w:type="spellEnd"/>
      <w:r w:rsidRPr="0087487B">
        <w:rPr>
          <w:rFonts w:cstheme="minorHAnsi"/>
          <w:sz w:val="20"/>
          <w:szCs w:val="18"/>
        </w:rPr>
        <w:t>-</w:t>
      </w:r>
      <w:proofErr w:type="spellStart"/>
      <w:r w:rsidRPr="0087487B">
        <w:rPr>
          <w:rFonts w:cstheme="minorHAnsi"/>
          <w:sz w:val="20"/>
          <w:szCs w:val="18"/>
        </w:rPr>
        <w:t>NoDerivatives</w:t>
      </w:r>
      <w:proofErr w:type="spellEnd"/>
      <w:r w:rsidRPr="0087487B">
        <w:rPr>
          <w:rFonts w:cstheme="minorHAnsi"/>
          <w:sz w:val="20"/>
          <w:szCs w:val="18"/>
        </w:rPr>
        <w:t xml:space="preserve"> CC BY-NC-ND</w:t>
      </w:r>
    </w:p>
    <w:p w14:paraId="43839F5A" w14:textId="77777777" w:rsidR="000A5F42" w:rsidRPr="0087487B" w:rsidRDefault="000A5F42" w:rsidP="000A5F42">
      <w:pPr>
        <w:pStyle w:val="NoSpacing"/>
        <w:rPr>
          <w:rFonts w:cstheme="minorHAnsi"/>
          <w:sz w:val="20"/>
          <w:szCs w:val="18"/>
        </w:rPr>
      </w:pPr>
      <w:r w:rsidRPr="0087487B">
        <w:rPr>
          <w:rFonts w:cstheme="minorHAnsi"/>
          <w:sz w:val="20"/>
          <w:szCs w:val="18"/>
        </w:rPr>
        <w:t xml:space="preserve">© </w:t>
      </w:r>
      <w:r w:rsidR="00852E2B" w:rsidRPr="0087487B">
        <w:rPr>
          <w:rFonts w:cstheme="minorHAnsi"/>
          <w:sz w:val="20"/>
          <w:szCs w:val="18"/>
        </w:rPr>
        <w:fldChar w:fldCharType="begin"/>
      </w:r>
      <w:r w:rsidR="00852E2B" w:rsidRPr="0087487B">
        <w:rPr>
          <w:rFonts w:cstheme="minorHAnsi"/>
          <w:sz w:val="20"/>
          <w:szCs w:val="18"/>
        </w:rPr>
        <w:instrText xml:space="preserve"> DOCPROPERTY  Year  \* MERGEFORMAT </w:instrText>
      </w:r>
      <w:r w:rsidR="00852E2B" w:rsidRPr="0087487B">
        <w:rPr>
          <w:rFonts w:cstheme="minorHAnsi"/>
          <w:sz w:val="20"/>
          <w:szCs w:val="18"/>
        </w:rPr>
        <w:fldChar w:fldCharType="separate"/>
      </w:r>
      <w:r w:rsidR="00035AAA" w:rsidRPr="0087487B">
        <w:rPr>
          <w:rFonts w:cstheme="minorHAnsi"/>
          <w:sz w:val="20"/>
          <w:szCs w:val="18"/>
        </w:rPr>
        <w:t>2023</w:t>
      </w:r>
      <w:r w:rsidR="00852E2B" w:rsidRPr="0087487B">
        <w:rPr>
          <w:rFonts w:cstheme="minorHAnsi"/>
          <w:sz w:val="20"/>
          <w:szCs w:val="18"/>
        </w:rPr>
        <w:fldChar w:fldCharType="end"/>
      </w:r>
      <w:r w:rsidR="00852E2B" w:rsidRPr="0087487B">
        <w:rPr>
          <w:rFonts w:cstheme="minorHAnsi"/>
          <w:sz w:val="20"/>
          <w:szCs w:val="18"/>
        </w:rPr>
        <w:t xml:space="preserve"> </w:t>
      </w:r>
      <w:r w:rsidRPr="0087487B">
        <w:rPr>
          <w:rFonts w:cstheme="minorHAnsi"/>
          <w:sz w:val="20"/>
          <w:szCs w:val="18"/>
        </w:rPr>
        <w:t xml:space="preserve">Commonwealth of Australia as represented by the </w:t>
      </w:r>
      <w:r w:rsidR="001723AC" w:rsidRPr="0087487B">
        <w:rPr>
          <w:rFonts w:cstheme="minorHAnsi"/>
          <w:sz w:val="20"/>
          <w:szCs w:val="18"/>
        </w:rPr>
        <w:t>Department of Health and Aged Care</w:t>
      </w:r>
    </w:p>
    <w:p w14:paraId="2B8512F1" w14:textId="6008944E" w:rsidR="000A5F42" w:rsidRPr="0087487B" w:rsidRDefault="000A5F42" w:rsidP="000A5F42">
      <w:pPr>
        <w:pStyle w:val="NoSpacing"/>
        <w:rPr>
          <w:rFonts w:cstheme="minorHAnsi"/>
          <w:sz w:val="20"/>
          <w:szCs w:val="18"/>
        </w:rPr>
      </w:pPr>
      <w:r w:rsidRPr="0087487B">
        <w:rPr>
          <w:rFonts w:cstheme="minorHAnsi"/>
          <w:sz w:val="20"/>
          <w:szCs w:val="18"/>
        </w:rPr>
        <w:t>This publication is licensed under a Creative Commons Attribution-</w:t>
      </w:r>
      <w:proofErr w:type="spellStart"/>
      <w:r w:rsidRPr="0087487B">
        <w:rPr>
          <w:rFonts w:cstheme="minorHAnsi"/>
          <w:sz w:val="20"/>
          <w:szCs w:val="18"/>
        </w:rPr>
        <w:t>NonCommercial</w:t>
      </w:r>
      <w:proofErr w:type="spellEnd"/>
      <w:r w:rsidRPr="0087487B">
        <w:rPr>
          <w:rFonts w:cstheme="minorHAnsi"/>
          <w:sz w:val="20"/>
          <w:szCs w:val="18"/>
        </w:rPr>
        <w:t>-</w:t>
      </w:r>
      <w:proofErr w:type="spellStart"/>
      <w:r w:rsidRPr="0087487B">
        <w:rPr>
          <w:rFonts w:cstheme="minorHAnsi"/>
          <w:sz w:val="20"/>
          <w:szCs w:val="18"/>
        </w:rPr>
        <w:t>NoDerivatives</w:t>
      </w:r>
      <w:proofErr w:type="spellEnd"/>
      <w:r w:rsidRPr="0087487B">
        <w:rPr>
          <w:rFonts w:cstheme="minorHAnsi"/>
          <w:sz w:val="20"/>
          <w:szCs w:val="18"/>
        </w:rPr>
        <w:t xml:space="preserve"> 4.0 International Licence from </w:t>
      </w:r>
      <w:hyperlink r:id="rId17" w:tooltip="Creative Commons licence" w:history="1">
        <w:r w:rsidRPr="0087487B">
          <w:rPr>
            <w:rStyle w:val="Hyperlink"/>
            <w:rFonts w:cstheme="minorHAnsi"/>
            <w:sz w:val="20"/>
            <w:szCs w:val="18"/>
          </w:rPr>
          <w:t>https://creativecommons.org/licenses/by-nc-nd/4.0/legalcode</w:t>
        </w:r>
      </w:hyperlink>
      <w:r w:rsidRPr="0087487B">
        <w:rPr>
          <w:rStyle w:val="URI"/>
          <w:rFonts w:cstheme="minorHAnsi"/>
          <w:sz w:val="20"/>
          <w:szCs w:val="18"/>
        </w:rPr>
        <w:t xml:space="preserve"> </w:t>
      </w:r>
      <w:r w:rsidRPr="0087487B">
        <w:rPr>
          <w:rFonts w:cstheme="minorHAnsi"/>
          <w:sz w:val="20"/>
          <w:szCs w:val="18"/>
        </w:rPr>
        <w:t>(Licence). You must read and understand the Licence before using any material from this publication.</w:t>
      </w:r>
    </w:p>
    <w:p w14:paraId="2B3479D3" w14:textId="77777777" w:rsidR="000A5F42" w:rsidRPr="0087487B" w:rsidRDefault="000A5F42" w:rsidP="000A5F42">
      <w:pPr>
        <w:pStyle w:val="NoSpacing"/>
        <w:rPr>
          <w:rFonts w:cstheme="minorHAnsi"/>
          <w:sz w:val="20"/>
          <w:szCs w:val="18"/>
        </w:rPr>
      </w:pPr>
    </w:p>
    <w:p w14:paraId="17325811" w14:textId="77777777" w:rsidR="000A5F42" w:rsidRPr="0087487B" w:rsidRDefault="000A5F42" w:rsidP="000A5F42">
      <w:pPr>
        <w:pStyle w:val="NoSpacing"/>
        <w:rPr>
          <w:rFonts w:cstheme="minorHAnsi"/>
          <w:sz w:val="20"/>
          <w:szCs w:val="18"/>
        </w:rPr>
      </w:pPr>
      <w:r w:rsidRPr="0087487B">
        <w:rPr>
          <w:rStyle w:val="Strong"/>
          <w:rFonts w:cstheme="minorHAnsi"/>
          <w:sz w:val="20"/>
          <w:szCs w:val="18"/>
        </w:rPr>
        <w:t>Restrictions</w:t>
      </w:r>
      <w:r w:rsidRPr="0087487B">
        <w:rPr>
          <w:rStyle w:val="Strong"/>
          <w:rFonts w:cstheme="minorHAnsi"/>
          <w:sz w:val="20"/>
          <w:szCs w:val="18"/>
        </w:rPr>
        <w:br/>
      </w:r>
      <w:r w:rsidRPr="0087487B">
        <w:rPr>
          <w:rFonts w:cstheme="minorHAnsi"/>
          <w:sz w:val="20"/>
          <w:szCs w:val="18"/>
        </w:rPr>
        <w:t>The Licence does not cover, and there is no permission given for, use of any of the following material found in this publication (if</w:t>
      </w:r>
      <w:r w:rsidR="001378A3" w:rsidRPr="0087487B">
        <w:rPr>
          <w:rFonts w:cstheme="minorHAnsi"/>
          <w:sz w:val="20"/>
          <w:szCs w:val="18"/>
        </w:rPr>
        <w:t> </w:t>
      </w:r>
      <w:r w:rsidRPr="0087487B">
        <w:rPr>
          <w:rFonts w:cstheme="minorHAnsi"/>
          <w:sz w:val="20"/>
          <w:szCs w:val="18"/>
        </w:rPr>
        <w:t xml:space="preserve">any): </w:t>
      </w:r>
    </w:p>
    <w:p w14:paraId="01693170" w14:textId="3463F466" w:rsidR="000A5F42" w:rsidRPr="0087487B" w:rsidRDefault="000A5F42" w:rsidP="00934C63">
      <w:pPr>
        <w:pStyle w:val="NoSpacing"/>
        <w:numPr>
          <w:ilvl w:val="0"/>
          <w:numId w:val="1"/>
        </w:numPr>
        <w:rPr>
          <w:rFonts w:cstheme="minorHAnsi"/>
          <w:sz w:val="20"/>
          <w:szCs w:val="18"/>
        </w:rPr>
      </w:pPr>
      <w:r w:rsidRPr="0087487B">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87487B">
          <w:rPr>
            <w:rStyle w:val="Hyperlink"/>
            <w:rFonts w:cstheme="minorHAnsi"/>
            <w:sz w:val="20"/>
            <w:szCs w:val="18"/>
          </w:rPr>
          <w:t>www.itsanhonour.gov.au</w:t>
        </w:r>
      </w:hyperlink>
      <w:r w:rsidRPr="0087487B">
        <w:rPr>
          <w:rStyle w:val="URI"/>
          <w:rFonts w:cstheme="minorHAnsi"/>
          <w:sz w:val="20"/>
          <w:szCs w:val="18"/>
          <w:u w:val="none"/>
        </w:rPr>
        <w:t>)</w:t>
      </w:r>
      <w:r w:rsidRPr="0087487B">
        <w:rPr>
          <w:rFonts w:cstheme="minorHAnsi"/>
          <w:sz w:val="20"/>
          <w:szCs w:val="18"/>
        </w:rPr>
        <w:t xml:space="preserve">;  </w:t>
      </w:r>
    </w:p>
    <w:p w14:paraId="3B9A3E13" w14:textId="77777777" w:rsidR="000A5F42" w:rsidRPr="0087487B" w:rsidRDefault="000A5F42" w:rsidP="00934C63">
      <w:pPr>
        <w:pStyle w:val="NoSpacing"/>
        <w:numPr>
          <w:ilvl w:val="0"/>
          <w:numId w:val="1"/>
        </w:numPr>
        <w:rPr>
          <w:rFonts w:cstheme="minorHAnsi"/>
          <w:sz w:val="20"/>
          <w:szCs w:val="18"/>
        </w:rPr>
      </w:pPr>
      <w:r w:rsidRPr="0087487B">
        <w:rPr>
          <w:rFonts w:cstheme="minorHAnsi"/>
          <w:sz w:val="20"/>
          <w:szCs w:val="18"/>
        </w:rPr>
        <w:t xml:space="preserve">any logos (including the </w:t>
      </w:r>
      <w:r w:rsidR="001723AC" w:rsidRPr="0087487B">
        <w:rPr>
          <w:rFonts w:cstheme="minorHAnsi"/>
          <w:sz w:val="20"/>
          <w:szCs w:val="18"/>
        </w:rPr>
        <w:t>Department of Health and Aged Care</w:t>
      </w:r>
      <w:r w:rsidRPr="0087487B">
        <w:rPr>
          <w:rFonts w:cstheme="minorHAnsi"/>
          <w:sz w:val="20"/>
          <w:szCs w:val="18"/>
        </w:rPr>
        <w:t xml:space="preserve">’s logo) and </w:t>
      </w:r>
      <w:proofErr w:type="gramStart"/>
      <w:r w:rsidRPr="0087487B">
        <w:rPr>
          <w:rFonts w:cstheme="minorHAnsi"/>
          <w:sz w:val="20"/>
          <w:szCs w:val="18"/>
        </w:rPr>
        <w:t>trademarks;</w:t>
      </w:r>
      <w:proofErr w:type="gramEnd"/>
    </w:p>
    <w:p w14:paraId="274C3513" w14:textId="77777777" w:rsidR="000A5F42" w:rsidRPr="0087487B" w:rsidRDefault="000A5F42" w:rsidP="00934C63">
      <w:pPr>
        <w:pStyle w:val="NoSpacing"/>
        <w:numPr>
          <w:ilvl w:val="0"/>
          <w:numId w:val="1"/>
        </w:numPr>
        <w:rPr>
          <w:rFonts w:cstheme="minorHAnsi"/>
          <w:sz w:val="20"/>
          <w:szCs w:val="18"/>
        </w:rPr>
      </w:pPr>
      <w:r w:rsidRPr="0087487B">
        <w:rPr>
          <w:rFonts w:cstheme="minorHAnsi"/>
          <w:sz w:val="20"/>
          <w:szCs w:val="18"/>
        </w:rPr>
        <w:t xml:space="preserve">any photographs and </w:t>
      </w:r>
      <w:proofErr w:type="gramStart"/>
      <w:r w:rsidRPr="0087487B">
        <w:rPr>
          <w:rFonts w:cstheme="minorHAnsi"/>
          <w:sz w:val="20"/>
          <w:szCs w:val="18"/>
        </w:rPr>
        <w:t>images;</w:t>
      </w:r>
      <w:proofErr w:type="gramEnd"/>
      <w:r w:rsidRPr="0087487B">
        <w:rPr>
          <w:rFonts w:cstheme="minorHAnsi"/>
          <w:sz w:val="20"/>
          <w:szCs w:val="18"/>
        </w:rPr>
        <w:t xml:space="preserve"> </w:t>
      </w:r>
    </w:p>
    <w:p w14:paraId="319CD47F" w14:textId="77777777" w:rsidR="000A5F42" w:rsidRPr="0087487B" w:rsidRDefault="000A5F42" w:rsidP="00934C63">
      <w:pPr>
        <w:pStyle w:val="NoSpacing"/>
        <w:numPr>
          <w:ilvl w:val="0"/>
          <w:numId w:val="1"/>
        </w:numPr>
        <w:rPr>
          <w:rFonts w:cstheme="minorHAnsi"/>
          <w:sz w:val="20"/>
          <w:szCs w:val="18"/>
        </w:rPr>
      </w:pPr>
      <w:r w:rsidRPr="0087487B">
        <w:rPr>
          <w:rFonts w:cstheme="minorHAnsi"/>
          <w:sz w:val="20"/>
          <w:szCs w:val="18"/>
        </w:rPr>
        <w:t>any signatures; and</w:t>
      </w:r>
    </w:p>
    <w:p w14:paraId="6890E79F" w14:textId="77777777" w:rsidR="000A5F42" w:rsidRPr="0087487B" w:rsidRDefault="000A5F42" w:rsidP="00934C63">
      <w:pPr>
        <w:pStyle w:val="NoSpacing"/>
        <w:numPr>
          <w:ilvl w:val="0"/>
          <w:numId w:val="1"/>
        </w:numPr>
        <w:rPr>
          <w:rFonts w:cstheme="minorHAnsi"/>
          <w:sz w:val="20"/>
          <w:szCs w:val="18"/>
        </w:rPr>
      </w:pPr>
      <w:r w:rsidRPr="0087487B">
        <w:rPr>
          <w:rFonts w:cstheme="minorHAnsi"/>
          <w:sz w:val="20"/>
          <w:szCs w:val="18"/>
        </w:rPr>
        <w:t xml:space="preserve">any material belonging to third parties. </w:t>
      </w:r>
    </w:p>
    <w:p w14:paraId="1A12B6A6" w14:textId="77777777" w:rsidR="000A5F42" w:rsidRPr="0087487B" w:rsidRDefault="000A5F42" w:rsidP="000A5F42">
      <w:pPr>
        <w:pStyle w:val="NoSpacing"/>
        <w:rPr>
          <w:rStyle w:val="Strong"/>
          <w:rFonts w:cstheme="minorHAnsi"/>
          <w:sz w:val="20"/>
          <w:szCs w:val="18"/>
        </w:rPr>
      </w:pPr>
    </w:p>
    <w:p w14:paraId="5AF5C9C2" w14:textId="77777777" w:rsidR="000A5F42" w:rsidRPr="0087487B" w:rsidRDefault="000A5F42" w:rsidP="000A5F42">
      <w:pPr>
        <w:pStyle w:val="NoSpacing"/>
        <w:rPr>
          <w:rStyle w:val="Strong"/>
          <w:rFonts w:cstheme="minorHAnsi"/>
          <w:sz w:val="20"/>
          <w:szCs w:val="18"/>
        </w:rPr>
      </w:pPr>
      <w:r w:rsidRPr="0087487B">
        <w:rPr>
          <w:rStyle w:val="Strong"/>
          <w:rFonts w:cstheme="minorHAnsi"/>
          <w:sz w:val="20"/>
          <w:szCs w:val="18"/>
        </w:rPr>
        <w:t>Disclaimer</w:t>
      </w:r>
      <w:r w:rsidRPr="0087487B">
        <w:rPr>
          <w:rStyle w:val="Strong"/>
          <w:rFonts w:cstheme="minorHAnsi"/>
          <w:sz w:val="20"/>
          <w:szCs w:val="18"/>
        </w:rPr>
        <w:br/>
      </w:r>
      <w:r w:rsidRPr="0087487B">
        <w:rPr>
          <w:rFonts w:cstheme="minorHAnsi"/>
          <w:sz w:val="20"/>
          <w:szCs w:val="18"/>
        </w:rPr>
        <w:t xml:space="preserve">Opinions expressed in Communicable Diseases Intelligence are those of the authors and not necessarily those of the Australian Government </w:t>
      </w:r>
      <w:r w:rsidR="001723AC" w:rsidRPr="0087487B">
        <w:rPr>
          <w:rFonts w:cstheme="minorHAnsi"/>
          <w:sz w:val="20"/>
          <w:szCs w:val="18"/>
        </w:rPr>
        <w:t>Department of Health and Aged Care</w:t>
      </w:r>
      <w:r w:rsidRPr="0087487B">
        <w:rPr>
          <w:rFonts w:cstheme="minorHAnsi"/>
          <w:sz w:val="20"/>
          <w:szCs w:val="18"/>
        </w:rPr>
        <w:t xml:space="preserve"> or the Communicable Diseases Network Australia. Data may be subject to revision.</w:t>
      </w:r>
    </w:p>
    <w:p w14:paraId="2249EDF2" w14:textId="77777777" w:rsidR="000A5F42" w:rsidRPr="0087487B" w:rsidRDefault="000A5F42" w:rsidP="000A5F42">
      <w:pPr>
        <w:pStyle w:val="NoSpacing"/>
        <w:rPr>
          <w:rStyle w:val="Strong"/>
          <w:rFonts w:cstheme="minorHAnsi"/>
          <w:sz w:val="20"/>
          <w:szCs w:val="18"/>
        </w:rPr>
      </w:pPr>
    </w:p>
    <w:p w14:paraId="093A27EC" w14:textId="25F68303" w:rsidR="000A5F42" w:rsidRPr="0087487B" w:rsidRDefault="000A5F42" w:rsidP="000A5F42">
      <w:pPr>
        <w:pStyle w:val="NoSpacing"/>
        <w:rPr>
          <w:rStyle w:val="URI"/>
          <w:rFonts w:cstheme="minorHAnsi"/>
          <w:sz w:val="20"/>
          <w:szCs w:val="18"/>
        </w:rPr>
      </w:pPr>
      <w:r w:rsidRPr="0087487B">
        <w:rPr>
          <w:rStyle w:val="Strong"/>
          <w:rFonts w:cstheme="minorHAnsi"/>
          <w:sz w:val="20"/>
          <w:szCs w:val="18"/>
        </w:rPr>
        <w:t>Enquiries</w:t>
      </w:r>
      <w:r w:rsidRPr="0087487B">
        <w:rPr>
          <w:rStyle w:val="Strong"/>
          <w:rFonts w:cstheme="minorHAnsi"/>
          <w:sz w:val="20"/>
          <w:szCs w:val="18"/>
        </w:rPr>
        <w:br/>
      </w:r>
      <w:proofErr w:type="spellStart"/>
      <w:r w:rsidRPr="0087487B">
        <w:rPr>
          <w:rFonts w:cstheme="minorHAnsi"/>
          <w:sz w:val="20"/>
          <w:szCs w:val="18"/>
        </w:rPr>
        <w:t>Enquiries</w:t>
      </w:r>
      <w:proofErr w:type="spellEnd"/>
      <w:r w:rsidRPr="0087487B">
        <w:rPr>
          <w:rFonts w:cstheme="minorHAnsi"/>
          <w:sz w:val="20"/>
          <w:szCs w:val="18"/>
        </w:rPr>
        <w:t xml:space="preserve"> regarding any other use of this publication should be addressed to the Communication Branch, </w:t>
      </w:r>
      <w:r w:rsidR="001723AC" w:rsidRPr="0087487B">
        <w:rPr>
          <w:rFonts w:cstheme="minorHAnsi"/>
          <w:sz w:val="20"/>
          <w:szCs w:val="18"/>
        </w:rPr>
        <w:t>Department of Health and Aged Care</w:t>
      </w:r>
      <w:r w:rsidRPr="0087487B">
        <w:rPr>
          <w:rFonts w:cstheme="minorHAnsi"/>
          <w:sz w:val="20"/>
          <w:szCs w:val="18"/>
        </w:rPr>
        <w:t xml:space="preserve">, GPO Box 9848, Canberra ACT 2601, or via e-mail to: </w:t>
      </w:r>
      <w:hyperlink r:id="rId19" w:history="1">
        <w:r w:rsidRPr="0087487B">
          <w:rPr>
            <w:rStyle w:val="Hyperlink"/>
            <w:rFonts w:cstheme="minorHAnsi"/>
            <w:sz w:val="20"/>
            <w:szCs w:val="18"/>
          </w:rPr>
          <w:t>copyright@health.gov.au</w:t>
        </w:r>
      </w:hyperlink>
      <w:r w:rsidRPr="0087487B">
        <w:rPr>
          <w:rStyle w:val="URI"/>
          <w:rFonts w:cstheme="minorHAnsi"/>
          <w:sz w:val="20"/>
          <w:szCs w:val="18"/>
        </w:rPr>
        <w:t xml:space="preserve"> </w:t>
      </w:r>
    </w:p>
    <w:p w14:paraId="171A3565" w14:textId="77777777" w:rsidR="000A5F42" w:rsidRPr="0087487B" w:rsidRDefault="000A5F42" w:rsidP="000A5F42">
      <w:pPr>
        <w:pStyle w:val="NoSpacing"/>
        <w:rPr>
          <w:rStyle w:val="URI"/>
          <w:rFonts w:cstheme="minorHAnsi"/>
          <w:sz w:val="20"/>
          <w:szCs w:val="18"/>
        </w:rPr>
      </w:pPr>
    </w:p>
    <w:p w14:paraId="637F210E" w14:textId="690DBE9E" w:rsidR="000A5F42" w:rsidRPr="0087487B" w:rsidRDefault="000A5F42" w:rsidP="000A5F42">
      <w:pPr>
        <w:pStyle w:val="NoSpacing"/>
        <w:rPr>
          <w:rStyle w:val="Strong"/>
          <w:rFonts w:cstheme="minorHAnsi"/>
          <w:b w:val="0"/>
          <w:bCs w:val="0"/>
          <w:color w:val="000000"/>
          <w:sz w:val="20"/>
          <w:szCs w:val="18"/>
          <w:u w:val="thick"/>
        </w:rPr>
      </w:pPr>
      <w:r w:rsidRPr="0087487B">
        <w:rPr>
          <w:rStyle w:val="Strong"/>
          <w:rFonts w:cstheme="minorHAnsi"/>
          <w:sz w:val="20"/>
          <w:szCs w:val="18"/>
        </w:rPr>
        <w:t>Communicable Diseases Network Australia</w:t>
      </w:r>
      <w:r w:rsidRPr="0087487B">
        <w:rPr>
          <w:rStyle w:val="Strong"/>
          <w:rFonts w:cstheme="minorHAnsi"/>
          <w:sz w:val="20"/>
          <w:szCs w:val="18"/>
        </w:rPr>
        <w:br/>
      </w:r>
      <w:r w:rsidRPr="0087487B">
        <w:rPr>
          <w:rFonts w:cstheme="minorHAnsi"/>
          <w:sz w:val="20"/>
          <w:szCs w:val="18"/>
        </w:rPr>
        <w:t>Communicable Diseases Intelligence contributes to the work of the Communicable Diseases Network Australia.</w:t>
      </w:r>
      <w:r w:rsidRPr="0087487B">
        <w:rPr>
          <w:rFonts w:cstheme="minorHAnsi"/>
          <w:sz w:val="20"/>
          <w:szCs w:val="18"/>
        </w:rPr>
        <w:br/>
      </w:r>
      <w:hyperlink r:id="rId20" w:tooltip="Communicable Diseases Network Australia website" w:history="1">
        <w:r w:rsidRPr="0087487B">
          <w:rPr>
            <w:rStyle w:val="Hyperlink"/>
            <w:rFonts w:cstheme="minorHAnsi"/>
            <w:sz w:val="20"/>
            <w:szCs w:val="18"/>
          </w:rPr>
          <w:t>http://www.health.gov.au/cdna</w:t>
        </w:r>
      </w:hyperlink>
    </w:p>
    <w:sectPr w:rsidR="000A5F42" w:rsidRPr="0087487B" w:rsidSect="002B75A9">
      <w:headerReference w:type="default" r:id="rId21"/>
      <w:footnotePr>
        <w:numFmt w:val="lowerRoman"/>
        <w:numStart w:val="3"/>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204B" w14:textId="77777777" w:rsidR="006B6123" w:rsidRDefault="006B6123" w:rsidP="00E54DBA">
      <w:r>
        <w:separator/>
      </w:r>
    </w:p>
    <w:p w14:paraId="5F7DD0A3" w14:textId="77777777" w:rsidR="006B6123" w:rsidRDefault="006B6123"/>
    <w:p w14:paraId="78B9DAF2" w14:textId="77777777" w:rsidR="006B6123" w:rsidRDefault="006B6123" w:rsidP="008714B0"/>
  </w:endnote>
  <w:endnote w:type="continuationSeparator" w:id="0">
    <w:p w14:paraId="73433F54" w14:textId="77777777" w:rsidR="006B6123" w:rsidRDefault="006B6123" w:rsidP="00E54DBA">
      <w:r>
        <w:continuationSeparator/>
      </w:r>
    </w:p>
    <w:p w14:paraId="75E16928" w14:textId="77777777" w:rsidR="006B6123" w:rsidRDefault="006B6123"/>
    <w:p w14:paraId="638C163F" w14:textId="77777777" w:rsidR="006B6123" w:rsidRDefault="006B612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EA4F" w14:textId="33207C6A"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E72B8">
      <w:rPr>
        <w:i/>
        <w:sz w:val="18"/>
      </w:rPr>
      <w:t>Commun</w:t>
    </w:r>
    <w:proofErr w:type="spellEnd"/>
    <w:r w:rsidR="00CE342B" w:rsidRPr="002E72B8">
      <w:rPr>
        <w:i/>
        <w:sz w:val="18"/>
      </w:rPr>
      <w:t xml:space="preserve"> Dis </w:t>
    </w:r>
    <w:proofErr w:type="spellStart"/>
    <w:r w:rsidR="00CE342B" w:rsidRPr="002E72B8">
      <w:rPr>
        <w:i/>
        <w:sz w:val="18"/>
      </w:rPr>
      <w:t>Intell</w:t>
    </w:r>
    <w:proofErr w:type="spellEnd"/>
    <w:r w:rsidR="00CE342B" w:rsidRPr="002E72B8">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035AAA">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035AAA">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97AB0">
      <w:rPr>
        <w:sz w:val="18"/>
      </w:rPr>
      <w:t>https://doi.org/10.33321/cdi.2023.47.48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97AB0">
      <w:rPr>
        <w:sz w:val="18"/>
      </w:rPr>
      <w:t>19/10/2023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5967" w14:textId="057E4714"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E72B8">
      <w:rPr>
        <w:i/>
        <w:sz w:val="18"/>
      </w:rPr>
      <w:t>Commun</w:t>
    </w:r>
    <w:proofErr w:type="spellEnd"/>
    <w:r w:rsidR="00A164D5" w:rsidRPr="002E72B8">
      <w:rPr>
        <w:i/>
        <w:sz w:val="18"/>
      </w:rPr>
      <w:t xml:space="preserve"> Dis </w:t>
    </w:r>
    <w:proofErr w:type="spellStart"/>
    <w:r w:rsidR="00A164D5" w:rsidRPr="002E72B8">
      <w:rPr>
        <w:i/>
        <w:sz w:val="18"/>
      </w:rPr>
      <w:t>Intell</w:t>
    </w:r>
    <w:proofErr w:type="spellEnd"/>
    <w:r w:rsidR="00A164D5" w:rsidRPr="002E72B8">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35AAA">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035AAA">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C5BD1">
      <w:rPr>
        <w:sz w:val="18"/>
      </w:rPr>
      <w:t>https://doi.org/10.33321/cdi.2023.47.48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4C5BD1">
      <w:rPr>
        <w:sz w:val="18"/>
      </w:rPr>
      <w:t>19/10/2023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52B5" w14:textId="77777777" w:rsidR="006B6123" w:rsidRPr="00B91FB5" w:rsidRDefault="006B6123" w:rsidP="00B91FB5">
      <w:pPr>
        <w:spacing w:after="0" w:line="240" w:lineRule="auto"/>
        <w:rPr>
          <w:sz w:val="18"/>
          <w:szCs w:val="18"/>
        </w:rPr>
      </w:pPr>
      <w:r w:rsidRPr="00B91FB5">
        <w:rPr>
          <w:sz w:val="18"/>
          <w:szCs w:val="18"/>
        </w:rPr>
        <w:separator/>
      </w:r>
    </w:p>
  </w:footnote>
  <w:footnote w:type="continuationSeparator" w:id="0">
    <w:p w14:paraId="0EC89E82" w14:textId="77777777" w:rsidR="006B6123" w:rsidRDefault="006B6123" w:rsidP="00E54DBA">
      <w:r>
        <w:continuationSeparator/>
      </w:r>
    </w:p>
  </w:footnote>
  <w:footnote w:type="continuationNotice" w:id="1">
    <w:p w14:paraId="579166A8" w14:textId="77777777" w:rsidR="006B6123" w:rsidRPr="00224EFF" w:rsidRDefault="006B6123" w:rsidP="00224EFF">
      <w:pPr>
        <w:pStyle w:val="Footer"/>
      </w:pPr>
    </w:p>
  </w:footnote>
  <w:footnote w:id="2">
    <w:p w14:paraId="6D975E9E" w14:textId="766ABD5F" w:rsidR="00C74D36" w:rsidRDefault="00C74D36">
      <w:pPr>
        <w:pStyle w:val="FootnoteText"/>
      </w:pPr>
      <w:r>
        <w:rPr>
          <w:rStyle w:val="FootnoteReference"/>
        </w:rPr>
        <w:footnoteRef/>
      </w:r>
      <w:r>
        <w:t xml:space="preserve"> </w:t>
      </w:r>
      <w:r w:rsidRPr="00C74D36">
        <w:t>For further information, refer to https://www.who.int/news/item/28-06-2023-who-publishes-information-notes-on-the-use-of-bedaquiline-and-delamanid-in-children-and-adolescents-with-drug-resistant-tuberculosis.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CA16" w14:textId="7354FD38" w:rsidR="00257484" w:rsidRPr="00A153B6" w:rsidRDefault="00797AB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D4598">
          <w:t>Policy and guidelines</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B5F9"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51B1A52A" wp14:editId="271A114E">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00A"/>
    <w:multiLevelType w:val="multilevel"/>
    <w:tmpl w:val="73B8BE9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D6616"/>
    <w:multiLevelType w:val="multilevel"/>
    <w:tmpl w:val="558A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D32F0"/>
    <w:multiLevelType w:val="multilevel"/>
    <w:tmpl w:val="6DFCC99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0320F"/>
    <w:multiLevelType w:val="hybridMultilevel"/>
    <w:tmpl w:val="36B6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F0130"/>
    <w:multiLevelType w:val="multilevel"/>
    <w:tmpl w:val="951A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F5B97"/>
    <w:multiLevelType w:val="multilevel"/>
    <w:tmpl w:val="E708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350D8"/>
    <w:multiLevelType w:val="multilevel"/>
    <w:tmpl w:val="4D82D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34385"/>
    <w:multiLevelType w:val="hybridMultilevel"/>
    <w:tmpl w:val="274E6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F2668"/>
    <w:multiLevelType w:val="multilevel"/>
    <w:tmpl w:val="31C81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64C46"/>
    <w:multiLevelType w:val="multilevel"/>
    <w:tmpl w:val="9CCE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33EBA"/>
    <w:multiLevelType w:val="multilevel"/>
    <w:tmpl w:val="4CB4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F5823"/>
    <w:multiLevelType w:val="hybridMultilevel"/>
    <w:tmpl w:val="EFDEA6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4A3F97"/>
    <w:multiLevelType w:val="multilevel"/>
    <w:tmpl w:val="9E1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320F3"/>
    <w:multiLevelType w:val="multilevel"/>
    <w:tmpl w:val="53EA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B54D9"/>
    <w:multiLevelType w:val="multilevel"/>
    <w:tmpl w:val="A762D8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B5A08"/>
    <w:multiLevelType w:val="multilevel"/>
    <w:tmpl w:val="6000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450E8"/>
    <w:multiLevelType w:val="multilevel"/>
    <w:tmpl w:val="53D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46E80"/>
    <w:multiLevelType w:val="multilevel"/>
    <w:tmpl w:val="73B8BE9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07669"/>
    <w:multiLevelType w:val="multilevel"/>
    <w:tmpl w:val="F2D0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26B2F"/>
    <w:multiLevelType w:val="multilevel"/>
    <w:tmpl w:val="59D47876"/>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C17621A"/>
    <w:multiLevelType w:val="multilevel"/>
    <w:tmpl w:val="A762D8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3A2C09"/>
    <w:multiLevelType w:val="multilevel"/>
    <w:tmpl w:val="300A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50222"/>
    <w:multiLevelType w:val="multilevel"/>
    <w:tmpl w:val="0568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B001BD"/>
    <w:multiLevelType w:val="hybridMultilevel"/>
    <w:tmpl w:val="A66A9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E45A61"/>
    <w:multiLevelType w:val="multilevel"/>
    <w:tmpl w:val="1CF6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F47177"/>
    <w:multiLevelType w:val="multilevel"/>
    <w:tmpl w:val="53EA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C48BD"/>
    <w:multiLevelType w:val="multilevel"/>
    <w:tmpl w:val="806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B4065"/>
    <w:multiLevelType w:val="multilevel"/>
    <w:tmpl w:val="59D47876"/>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7A85D83"/>
    <w:multiLevelType w:val="multilevel"/>
    <w:tmpl w:val="33F2483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0A2520"/>
    <w:multiLevelType w:val="hybridMultilevel"/>
    <w:tmpl w:val="D62E2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F61166"/>
    <w:multiLevelType w:val="hybridMultilevel"/>
    <w:tmpl w:val="66880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AF4FF7"/>
    <w:multiLevelType w:val="multilevel"/>
    <w:tmpl w:val="00F4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104B6"/>
    <w:multiLevelType w:val="hybridMultilevel"/>
    <w:tmpl w:val="C4DA6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3642AD"/>
    <w:multiLevelType w:val="multilevel"/>
    <w:tmpl w:val="53EA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50A03"/>
    <w:multiLevelType w:val="multilevel"/>
    <w:tmpl w:val="59D47876"/>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FC87910"/>
    <w:multiLevelType w:val="multilevel"/>
    <w:tmpl w:val="39D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863741">
    <w:abstractNumId w:val="31"/>
  </w:num>
  <w:num w:numId="2" w16cid:durableId="1446122196">
    <w:abstractNumId w:val="28"/>
  </w:num>
  <w:num w:numId="3" w16cid:durableId="2100176304">
    <w:abstractNumId w:val="5"/>
  </w:num>
  <w:num w:numId="4" w16cid:durableId="2102334389">
    <w:abstractNumId w:val="9"/>
  </w:num>
  <w:num w:numId="5" w16cid:durableId="880558234">
    <w:abstractNumId w:val="10"/>
  </w:num>
  <w:num w:numId="6" w16cid:durableId="294526895">
    <w:abstractNumId w:val="26"/>
  </w:num>
  <w:num w:numId="7" w16cid:durableId="885608304">
    <w:abstractNumId w:val="24"/>
  </w:num>
  <w:num w:numId="8" w16cid:durableId="1241676730">
    <w:abstractNumId w:val="22"/>
  </w:num>
  <w:num w:numId="9" w16cid:durableId="1938295505">
    <w:abstractNumId w:val="21"/>
  </w:num>
  <w:num w:numId="10" w16cid:durableId="795180467">
    <w:abstractNumId w:val="1"/>
  </w:num>
  <w:num w:numId="11" w16cid:durableId="314115959">
    <w:abstractNumId w:val="36"/>
  </w:num>
  <w:num w:numId="12" w16cid:durableId="105319731">
    <w:abstractNumId w:val="4"/>
  </w:num>
  <w:num w:numId="13" w16cid:durableId="104157329">
    <w:abstractNumId w:val="6"/>
  </w:num>
  <w:num w:numId="14" w16cid:durableId="356276145">
    <w:abstractNumId w:val="18"/>
  </w:num>
  <w:num w:numId="15" w16cid:durableId="1713966176">
    <w:abstractNumId w:val="8"/>
  </w:num>
  <w:num w:numId="16" w16cid:durableId="1895576508">
    <w:abstractNumId w:val="16"/>
  </w:num>
  <w:num w:numId="17" w16cid:durableId="2129543379">
    <w:abstractNumId w:val="14"/>
  </w:num>
  <w:num w:numId="18" w16cid:durableId="222910137">
    <w:abstractNumId w:val="13"/>
  </w:num>
  <w:num w:numId="19" w16cid:durableId="1195387275">
    <w:abstractNumId w:val="20"/>
  </w:num>
  <w:num w:numId="20" w16cid:durableId="239410795">
    <w:abstractNumId w:val="32"/>
  </w:num>
  <w:num w:numId="21" w16cid:durableId="842203223">
    <w:abstractNumId w:val="15"/>
  </w:num>
  <w:num w:numId="22" w16cid:durableId="422654566">
    <w:abstractNumId w:val="12"/>
  </w:num>
  <w:num w:numId="23" w16cid:durableId="2116316175">
    <w:abstractNumId w:val="0"/>
  </w:num>
  <w:num w:numId="24" w16cid:durableId="510609327">
    <w:abstractNumId w:val="17"/>
  </w:num>
  <w:num w:numId="25" w16cid:durableId="2073581159">
    <w:abstractNumId w:val="33"/>
  </w:num>
  <w:num w:numId="26" w16cid:durableId="923761804">
    <w:abstractNumId w:val="23"/>
  </w:num>
  <w:num w:numId="27" w16cid:durableId="1745839434">
    <w:abstractNumId w:val="7"/>
  </w:num>
  <w:num w:numId="28" w16cid:durableId="2052269831">
    <w:abstractNumId w:val="30"/>
  </w:num>
  <w:num w:numId="29" w16cid:durableId="1048147398">
    <w:abstractNumId w:val="3"/>
  </w:num>
  <w:num w:numId="30" w16cid:durableId="734012388">
    <w:abstractNumId w:val="34"/>
  </w:num>
  <w:num w:numId="31" w16cid:durableId="1225069517">
    <w:abstractNumId w:val="25"/>
  </w:num>
  <w:num w:numId="32" w16cid:durableId="1144085594">
    <w:abstractNumId w:val="35"/>
  </w:num>
  <w:num w:numId="33" w16cid:durableId="1406802846">
    <w:abstractNumId w:val="2"/>
  </w:num>
  <w:num w:numId="34" w16cid:durableId="1143932676">
    <w:abstractNumId w:val="19"/>
  </w:num>
  <w:num w:numId="35" w16cid:durableId="992878329">
    <w:abstractNumId w:val="27"/>
  </w:num>
  <w:num w:numId="36" w16cid:durableId="2059544952">
    <w:abstractNumId w:val="11"/>
  </w:num>
  <w:num w:numId="37" w16cid:durableId="63545334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numFmt w:val="lowerRoman"/>
    <w:numStart w:val="3"/>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AA"/>
    <w:rsid w:val="000005D0"/>
    <w:rsid w:val="00000B5B"/>
    <w:rsid w:val="00001611"/>
    <w:rsid w:val="00007852"/>
    <w:rsid w:val="000104A8"/>
    <w:rsid w:val="0001246E"/>
    <w:rsid w:val="000124B1"/>
    <w:rsid w:val="00016FE6"/>
    <w:rsid w:val="0002350D"/>
    <w:rsid w:val="00031064"/>
    <w:rsid w:val="00031692"/>
    <w:rsid w:val="00032531"/>
    <w:rsid w:val="000325A0"/>
    <w:rsid w:val="00035AAA"/>
    <w:rsid w:val="000471BF"/>
    <w:rsid w:val="00047B68"/>
    <w:rsid w:val="00050A61"/>
    <w:rsid w:val="00052600"/>
    <w:rsid w:val="00052EA5"/>
    <w:rsid w:val="0005476E"/>
    <w:rsid w:val="0005643C"/>
    <w:rsid w:val="0006264A"/>
    <w:rsid w:val="00066B67"/>
    <w:rsid w:val="000673E4"/>
    <w:rsid w:val="00073D77"/>
    <w:rsid w:val="00081655"/>
    <w:rsid w:val="000864E0"/>
    <w:rsid w:val="000969B3"/>
    <w:rsid w:val="000A5F42"/>
    <w:rsid w:val="000B599B"/>
    <w:rsid w:val="000B6E8E"/>
    <w:rsid w:val="000C1D22"/>
    <w:rsid w:val="000C31FE"/>
    <w:rsid w:val="000C644B"/>
    <w:rsid w:val="000D4B4D"/>
    <w:rsid w:val="000E6798"/>
    <w:rsid w:val="000F29CD"/>
    <w:rsid w:val="00112785"/>
    <w:rsid w:val="00113D58"/>
    <w:rsid w:val="00120009"/>
    <w:rsid w:val="001200CB"/>
    <w:rsid w:val="00125B5B"/>
    <w:rsid w:val="00126CFB"/>
    <w:rsid w:val="00127DDC"/>
    <w:rsid w:val="001378A3"/>
    <w:rsid w:val="00155582"/>
    <w:rsid w:val="0015609C"/>
    <w:rsid w:val="0016006E"/>
    <w:rsid w:val="00161590"/>
    <w:rsid w:val="00171CC0"/>
    <w:rsid w:val="001723AC"/>
    <w:rsid w:val="00174836"/>
    <w:rsid w:val="00175494"/>
    <w:rsid w:val="00175629"/>
    <w:rsid w:val="001830EC"/>
    <w:rsid w:val="00183534"/>
    <w:rsid w:val="0018758E"/>
    <w:rsid w:val="001A4A96"/>
    <w:rsid w:val="001A5A5D"/>
    <w:rsid w:val="001A5D05"/>
    <w:rsid w:val="001A796C"/>
    <w:rsid w:val="001B2614"/>
    <w:rsid w:val="001B37B8"/>
    <w:rsid w:val="001B552F"/>
    <w:rsid w:val="001C0893"/>
    <w:rsid w:val="001C1303"/>
    <w:rsid w:val="001C34D8"/>
    <w:rsid w:val="001C70B2"/>
    <w:rsid w:val="001D37C7"/>
    <w:rsid w:val="001D4FB4"/>
    <w:rsid w:val="001D6888"/>
    <w:rsid w:val="001D70B9"/>
    <w:rsid w:val="001E4E1D"/>
    <w:rsid w:val="00204889"/>
    <w:rsid w:val="0020585E"/>
    <w:rsid w:val="00212213"/>
    <w:rsid w:val="00224EFF"/>
    <w:rsid w:val="002276DC"/>
    <w:rsid w:val="00227E00"/>
    <w:rsid w:val="002307CB"/>
    <w:rsid w:val="00231046"/>
    <w:rsid w:val="00234F21"/>
    <w:rsid w:val="00242659"/>
    <w:rsid w:val="002428F7"/>
    <w:rsid w:val="0024315F"/>
    <w:rsid w:val="0024631C"/>
    <w:rsid w:val="00247F2A"/>
    <w:rsid w:val="00252C9A"/>
    <w:rsid w:val="00256309"/>
    <w:rsid w:val="00257484"/>
    <w:rsid w:val="00260636"/>
    <w:rsid w:val="00264715"/>
    <w:rsid w:val="00275C5C"/>
    <w:rsid w:val="00275C78"/>
    <w:rsid w:val="00276021"/>
    <w:rsid w:val="00280594"/>
    <w:rsid w:val="00281EE3"/>
    <w:rsid w:val="00284E4A"/>
    <w:rsid w:val="002A285D"/>
    <w:rsid w:val="002A3799"/>
    <w:rsid w:val="002A3BCC"/>
    <w:rsid w:val="002A4516"/>
    <w:rsid w:val="002A569F"/>
    <w:rsid w:val="002A7066"/>
    <w:rsid w:val="002B001E"/>
    <w:rsid w:val="002B09B7"/>
    <w:rsid w:val="002B75A9"/>
    <w:rsid w:val="002C1DEE"/>
    <w:rsid w:val="002C21B0"/>
    <w:rsid w:val="002C6142"/>
    <w:rsid w:val="002E2FB3"/>
    <w:rsid w:val="002E4D6D"/>
    <w:rsid w:val="002E72B8"/>
    <w:rsid w:val="002F205E"/>
    <w:rsid w:val="002F327B"/>
    <w:rsid w:val="00300437"/>
    <w:rsid w:val="00301626"/>
    <w:rsid w:val="003059EC"/>
    <w:rsid w:val="00316CCD"/>
    <w:rsid w:val="00316DA6"/>
    <w:rsid w:val="00324F7E"/>
    <w:rsid w:val="00325F46"/>
    <w:rsid w:val="00327871"/>
    <w:rsid w:val="003323BC"/>
    <w:rsid w:val="00346D42"/>
    <w:rsid w:val="00346E11"/>
    <w:rsid w:val="003601C0"/>
    <w:rsid w:val="003635F5"/>
    <w:rsid w:val="00372A88"/>
    <w:rsid w:val="00373F47"/>
    <w:rsid w:val="00375F07"/>
    <w:rsid w:val="00381A0F"/>
    <w:rsid w:val="00396A52"/>
    <w:rsid w:val="003A1B3A"/>
    <w:rsid w:val="003A40F5"/>
    <w:rsid w:val="003B5B8C"/>
    <w:rsid w:val="003C7841"/>
    <w:rsid w:val="003D6525"/>
    <w:rsid w:val="003D79B1"/>
    <w:rsid w:val="003E74EE"/>
    <w:rsid w:val="003F0552"/>
    <w:rsid w:val="003F3BC2"/>
    <w:rsid w:val="003F725B"/>
    <w:rsid w:val="00401ED1"/>
    <w:rsid w:val="0040224C"/>
    <w:rsid w:val="004112B0"/>
    <w:rsid w:val="00413EE1"/>
    <w:rsid w:val="004164BB"/>
    <w:rsid w:val="0042000E"/>
    <w:rsid w:val="00421ECE"/>
    <w:rsid w:val="00422FEB"/>
    <w:rsid w:val="004240ED"/>
    <w:rsid w:val="0042435E"/>
    <w:rsid w:val="004315F5"/>
    <w:rsid w:val="00433456"/>
    <w:rsid w:val="00433DFA"/>
    <w:rsid w:val="00435D67"/>
    <w:rsid w:val="00464A58"/>
    <w:rsid w:val="00473D2D"/>
    <w:rsid w:val="00483625"/>
    <w:rsid w:val="00486811"/>
    <w:rsid w:val="004A2125"/>
    <w:rsid w:val="004A38F6"/>
    <w:rsid w:val="004A6049"/>
    <w:rsid w:val="004B4EB6"/>
    <w:rsid w:val="004C083C"/>
    <w:rsid w:val="004C5BD1"/>
    <w:rsid w:val="004C67C6"/>
    <w:rsid w:val="004D29DE"/>
    <w:rsid w:val="00510EAC"/>
    <w:rsid w:val="00517CC7"/>
    <w:rsid w:val="00523DC2"/>
    <w:rsid w:val="005301C2"/>
    <w:rsid w:val="00542A57"/>
    <w:rsid w:val="0056242B"/>
    <w:rsid w:val="005634A5"/>
    <w:rsid w:val="00565974"/>
    <w:rsid w:val="005732C0"/>
    <w:rsid w:val="0057336D"/>
    <w:rsid w:val="0057489A"/>
    <w:rsid w:val="00574ACF"/>
    <w:rsid w:val="00577E91"/>
    <w:rsid w:val="00580837"/>
    <w:rsid w:val="00581588"/>
    <w:rsid w:val="00583E1E"/>
    <w:rsid w:val="0058540B"/>
    <w:rsid w:val="00587C87"/>
    <w:rsid w:val="00590B80"/>
    <w:rsid w:val="005A17BD"/>
    <w:rsid w:val="005B3134"/>
    <w:rsid w:val="005B4E61"/>
    <w:rsid w:val="005B595A"/>
    <w:rsid w:val="005B66C2"/>
    <w:rsid w:val="005C66A6"/>
    <w:rsid w:val="005D2465"/>
    <w:rsid w:val="005E33DD"/>
    <w:rsid w:val="005E3E11"/>
    <w:rsid w:val="005E4229"/>
    <w:rsid w:val="005E493E"/>
    <w:rsid w:val="005E5181"/>
    <w:rsid w:val="005E540E"/>
    <w:rsid w:val="005E55FB"/>
    <w:rsid w:val="005F16BB"/>
    <w:rsid w:val="005F4547"/>
    <w:rsid w:val="00605735"/>
    <w:rsid w:val="00607115"/>
    <w:rsid w:val="006127C5"/>
    <w:rsid w:val="00613B7B"/>
    <w:rsid w:val="00620768"/>
    <w:rsid w:val="00622EBB"/>
    <w:rsid w:val="0062594B"/>
    <w:rsid w:val="00631406"/>
    <w:rsid w:val="006324FF"/>
    <w:rsid w:val="0063431B"/>
    <w:rsid w:val="006351D6"/>
    <w:rsid w:val="00636E0D"/>
    <w:rsid w:val="0064142F"/>
    <w:rsid w:val="00643CB4"/>
    <w:rsid w:val="00656427"/>
    <w:rsid w:val="00660255"/>
    <w:rsid w:val="00663EA5"/>
    <w:rsid w:val="00686C81"/>
    <w:rsid w:val="006971F3"/>
    <w:rsid w:val="006A0F73"/>
    <w:rsid w:val="006B4610"/>
    <w:rsid w:val="006B4B7D"/>
    <w:rsid w:val="006B6123"/>
    <w:rsid w:val="006C74A3"/>
    <w:rsid w:val="006D1381"/>
    <w:rsid w:val="006D31BC"/>
    <w:rsid w:val="006D4598"/>
    <w:rsid w:val="006E7943"/>
    <w:rsid w:val="006F24EA"/>
    <w:rsid w:val="00704CA9"/>
    <w:rsid w:val="0071048D"/>
    <w:rsid w:val="00710F86"/>
    <w:rsid w:val="007111A8"/>
    <w:rsid w:val="00723B5F"/>
    <w:rsid w:val="00731BC3"/>
    <w:rsid w:val="00732C4D"/>
    <w:rsid w:val="00741192"/>
    <w:rsid w:val="00743A33"/>
    <w:rsid w:val="00746080"/>
    <w:rsid w:val="0075144A"/>
    <w:rsid w:val="0075673C"/>
    <w:rsid w:val="00781662"/>
    <w:rsid w:val="00786329"/>
    <w:rsid w:val="00792C7D"/>
    <w:rsid w:val="00794A4D"/>
    <w:rsid w:val="00797AB0"/>
    <w:rsid w:val="007A5234"/>
    <w:rsid w:val="007B6F36"/>
    <w:rsid w:val="007B7854"/>
    <w:rsid w:val="007C56A1"/>
    <w:rsid w:val="007C6454"/>
    <w:rsid w:val="007D5E84"/>
    <w:rsid w:val="007E01E0"/>
    <w:rsid w:val="007E5CA0"/>
    <w:rsid w:val="007F0B93"/>
    <w:rsid w:val="007F2ECA"/>
    <w:rsid w:val="00802960"/>
    <w:rsid w:val="008034E8"/>
    <w:rsid w:val="00811708"/>
    <w:rsid w:val="00816B90"/>
    <w:rsid w:val="00817799"/>
    <w:rsid w:val="00822F5F"/>
    <w:rsid w:val="00824FD3"/>
    <w:rsid w:val="00826589"/>
    <w:rsid w:val="008333DA"/>
    <w:rsid w:val="00834BCC"/>
    <w:rsid w:val="00847FE5"/>
    <w:rsid w:val="00850D54"/>
    <w:rsid w:val="00852E2B"/>
    <w:rsid w:val="00863E2F"/>
    <w:rsid w:val="008714B0"/>
    <w:rsid w:val="0087487B"/>
    <w:rsid w:val="00876331"/>
    <w:rsid w:val="00880726"/>
    <w:rsid w:val="0088574C"/>
    <w:rsid w:val="00885AB5"/>
    <w:rsid w:val="008A1197"/>
    <w:rsid w:val="008A3544"/>
    <w:rsid w:val="008B48B8"/>
    <w:rsid w:val="008B5348"/>
    <w:rsid w:val="008B58F8"/>
    <w:rsid w:val="008B62FF"/>
    <w:rsid w:val="008C0712"/>
    <w:rsid w:val="008C4520"/>
    <w:rsid w:val="008C5F09"/>
    <w:rsid w:val="008D0B4B"/>
    <w:rsid w:val="008D12D8"/>
    <w:rsid w:val="008D470F"/>
    <w:rsid w:val="008E1F8F"/>
    <w:rsid w:val="008E434F"/>
    <w:rsid w:val="008E4768"/>
    <w:rsid w:val="008E761E"/>
    <w:rsid w:val="008F0E3A"/>
    <w:rsid w:val="008F77B3"/>
    <w:rsid w:val="009008F5"/>
    <w:rsid w:val="00903DE7"/>
    <w:rsid w:val="00904CC1"/>
    <w:rsid w:val="00906638"/>
    <w:rsid w:val="009066AF"/>
    <w:rsid w:val="00912050"/>
    <w:rsid w:val="009129BB"/>
    <w:rsid w:val="00912E48"/>
    <w:rsid w:val="00912E68"/>
    <w:rsid w:val="0092746F"/>
    <w:rsid w:val="00934C63"/>
    <w:rsid w:val="00935DC9"/>
    <w:rsid w:val="009446C0"/>
    <w:rsid w:val="00944942"/>
    <w:rsid w:val="0096082E"/>
    <w:rsid w:val="00961347"/>
    <w:rsid w:val="00967410"/>
    <w:rsid w:val="00967D73"/>
    <w:rsid w:val="00976A24"/>
    <w:rsid w:val="0098119A"/>
    <w:rsid w:val="00984AAF"/>
    <w:rsid w:val="00991B09"/>
    <w:rsid w:val="00993CB2"/>
    <w:rsid w:val="009A5166"/>
    <w:rsid w:val="009A76F8"/>
    <w:rsid w:val="009B2B83"/>
    <w:rsid w:val="009B4359"/>
    <w:rsid w:val="009C49F8"/>
    <w:rsid w:val="009C77CF"/>
    <w:rsid w:val="009D77CC"/>
    <w:rsid w:val="009D797A"/>
    <w:rsid w:val="009E2423"/>
    <w:rsid w:val="009E55D7"/>
    <w:rsid w:val="009F4150"/>
    <w:rsid w:val="009F5665"/>
    <w:rsid w:val="009F5DAD"/>
    <w:rsid w:val="009F798F"/>
    <w:rsid w:val="00A01BCA"/>
    <w:rsid w:val="00A0406E"/>
    <w:rsid w:val="00A0507C"/>
    <w:rsid w:val="00A10458"/>
    <w:rsid w:val="00A13F98"/>
    <w:rsid w:val="00A153B6"/>
    <w:rsid w:val="00A164D5"/>
    <w:rsid w:val="00A21039"/>
    <w:rsid w:val="00A273C3"/>
    <w:rsid w:val="00A30C37"/>
    <w:rsid w:val="00A36C65"/>
    <w:rsid w:val="00A41BBE"/>
    <w:rsid w:val="00A443E3"/>
    <w:rsid w:val="00A45BDD"/>
    <w:rsid w:val="00A46A0A"/>
    <w:rsid w:val="00A519E0"/>
    <w:rsid w:val="00A553F8"/>
    <w:rsid w:val="00A6579F"/>
    <w:rsid w:val="00A668E1"/>
    <w:rsid w:val="00A6708F"/>
    <w:rsid w:val="00A71BF6"/>
    <w:rsid w:val="00A72AF9"/>
    <w:rsid w:val="00A75F43"/>
    <w:rsid w:val="00A86F9A"/>
    <w:rsid w:val="00A97D67"/>
    <w:rsid w:val="00AA35E6"/>
    <w:rsid w:val="00AA50B6"/>
    <w:rsid w:val="00AB1FBD"/>
    <w:rsid w:val="00AB3472"/>
    <w:rsid w:val="00AC289D"/>
    <w:rsid w:val="00AD0762"/>
    <w:rsid w:val="00AE0209"/>
    <w:rsid w:val="00AE3DCF"/>
    <w:rsid w:val="00AE4452"/>
    <w:rsid w:val="00AE7C38"/>
    <w:rsid w:val="00B01F99"/>
    <w:rsid w:val="00B02B37"/>
    <w:rsid w:val="00B05276"/>
    <w:rsid w:val="00B07E58"/>
    <w:rsid w:val="00B125A4"/>
    <w:rsid w:val="00B132DB"/>
    <w:rsid w:val="00B20957"/>
    <w:rsid w:val="00B313E8"/>
    <w:rsid w:val="00B31427"/>
    <w:rsid w:val="00B33861"/>
    <w:rsid w:val="00B362A0"/>
    <w:rsid w:val="00B40DE2"/>
    <w:rsid w:val="00B50210"/>
    <w:rsid w:val="00B50D8D"/>
    <w:rsid w:val="00B53955"/>
    <w:rsid w:val="00B53BFC"/>
    <w:rsid w:val="00B54BFF"/>
    <w:rsid w:val="00B63C79"/>
    <w:rsid w:val="00B6408A"/>
    <w:rsid w:val="00B6478A"/>
    <w:rsid w:val="00B714B8"/>
    <w:rsid w:val="00B82C2C"/>
    <w:rsid w:val="00B8720B"/>
    <w:rsid w:val="00B876EF"/>
    <w:rsid w:val="00B91FB5"/>
    <w:rsid w:val="00B95902"/>
    <w:rsid w:val="00BA4697"/>
    <w:rsid w:val="00BB5378"/>
    <w:rsid w:val="00BC0BD3"/>
    <w:rsid w:val="00BD0107"/>
    <w:rsid w:val="00BD5CDF"/>
    <w:rsid w:val="00BD5EE5"/>
    <w:rsid w:val="00BD6EE5"/>
    <w:rsid w:val="00BE0C33"/>
    <w:rsid w:val="00BE262C"/>
    <w:rsid w:val="00BE4C25"/>
    <w:rsid w:val="00BE6C3D"/>
    <w:rsid w:val="00C07606"/>
    <w:rsid w:val="00C12542"/>
    <w:rsid w:val="00C130EE"/>
    <w:rsid w:val="00C24725"/>
    <w:rsid w:val="00C30BA9"/>
    <w:rsid w:val="00C3541E"/>
    <w:rsid w:val="00C36A8F"/>
    <w:rsid w:val="00C40B55"/>
    <w:rsid w:val="00C42834"/>
    <w:rsid w:val="00C42FFA"/>
    <w:rsid w:val="00C507D8"/>
    <w:rsid w:val="00C51F5A"/>
    <w:rsid w:val="00C57018"/>
    <w:rsid w:val="00C606A2"/>
    <w:rsid w:val="00C62EAC"/>
    <w:rsid w:val="00C63F9F"/>
    <w:rsid w:val="00C74D36"/>
    <w:rsid w:val="00C7723C"/>
    <w:rsid w:val="00C838F5"/>
    <w:rsid w:val="00C841C0"/>
    <w:rsid w:val="00C86FAE"/>
    <w:rsid w:val="00CA0AEF"/>
    <w:rsid w:val="00CA1AF4"/>
    <w:rsid w:val="00CA6068"/>
    <w:rsid w:val="00CB15E1"/>
    <w:rsid w:val="00CB1C1E"/>
    <w:rsid w:val="00CB3D46"/>
    <w:rsid w:val="00CD1A87"/>
    <w:rsid w:val="00CD35F3"/>
    <w:rsid w:val="00CD5C93"/>
    <w:rsid w:val="00CE342B"/>
    <w:rsid w:val="00CE4C92"/>
    <w:rsid w:val="00CF2BFA"/>
    <w:rsid w:val="00CF320C"/>
    <w:rsid w:val="00CF3A4B"/>
    <w:rsid w:val="00CF4001"/>
    <w:rsid w:val="00CF75DF"/>
    <w:rsid w:val="00D05837"/>
    <w:rsid w:val="00D12D8A"/>
    <w:rsid w:val="00D13E0C"/>
    <w:rsid w:val="00D25896"/>
    <w:rsid w:val="00D27AED"/>
    <w:rsid w:val="00D373A1"/>
    <w:rsid w:val="00D37C0F"/>
    <w:rsid w:val="00D37DBE"/>
    <w:rsid w:val="00D45661"/>
    <w:rsid w:val="00D45943"/>
    <w:rsid w:val="00D47D22"/>
    <w:rsid w:val="00D51865"/>
    <w:rsid w:val="00D51D0C"/>
    <w:rsid w:val="00D74140"/>
    <w:rsid w:val="00D76F80"/>
    <w:rsid w:val="00D77DD3"/>
    <w:rsid w:val="00DA6E56"/>
    <w:rsid w:val="00DA78DD"/>
    <w:rsid w:val="00DB1C65"/>
    <w:rsid w:val="00DB46AB"/>
    <w:rsid w:val="00DC24E5"/>
    <w:rsid w:val="00DC6705"/>
    <w:rsid w:val="00DC6F45"/>
    <w:rsid w:val="00DD2DE8"/>
    <w:rsid w:val="00DD3A24"/>
    <w:rsid w:val="00DE38B4"/>
    <w:rsid w:val="00DE5D02"/>
    <w:rsid w:val="00DF2102"/>
    <w:rsid w:val="00DF76D8"/>
    <w:rsid w:val="00E005A9"/>
    <w:rsid w:val="00E02D5C"/>
    <w:rsid w:val="00E065BA"/>
    <w:rsid w:val="00E1166E"/>
    <w:rsid w:val="00E152FF"/>
    <w:rsid w:val="00E1772E"/>
    <w:rsid w:val="00E24DC0"/>
    <w:rsid w:val="00E2519C"/>
    <w:rsid w:val="00E25F2A"/>
    <w:rsid w:val="00E36E9A"/>
    <w:rsid w:val="00E41455"/>
    <w:rsid w:val="00E42AD2"/>
    <w:rsid w:val="00E47D50"/>
    <w:rsid w:val="00E50856"/>
    <w:rsid w:val="00E538CC"/>
    <w:rsid w:val="00E54BBD"/>
    <w:rsid w:val="00E54DBA"/>
    <w:rsid w:val="00E63D7C"/>
    <w:rsid w:val="00E640D5"/>
    <w:rsid w:val="00E66E2E"/>
    <w:rsid w:val="00E67691"/>
    <w:rsid w:val="00E70159"/>
    <w:rsid w:val="00E92237"/>
    <w:rsid w:val="00E951EF"/>
    <w:rsid w:val="00E96D03"/>
    <w:rsid w:val="00EA3D54"/>
    <w:rsid w:val="00EA56D9"/>
    <w:rsid w:val="00EA5CE3"/>
    <w:rsid w:val="00EB51C1"/>
    <w:rsid w:val="00EB5AE1"/>
    <w:rsid w:val="00EB5E0B"/>
    <w:rsid w:val="00EC2171"/>
    <w:rsid w:val="00EC56D1"/>
    <w:rsid w:val="00ED442D"/>
    <w:rsid w:val="00ED70C2"/>
    <w:rsid w:val="00EE18FF"/>
    <w:rsid w:val="00EE3E29"/>
    <w:rsid w:val="00EE489F"/>
    <w:rsid w:val="00EF656B"/>
    <w:rsid w:val="00F038A7"/>
    <w:rsid w:val="00F0647F"/>
    <w:rsid w:val="00F10CE3"/>
    <w:rsid w:val="00F12006"/>
    <w:rsid w:val="00F13443"/>
    <w:rsid w:val="00F14F3B"/>
    <w:rsid w:val="00F16362"/>
    <w:rsid w:val="00F207C7"/>
    <w:rsid w:val="00F24221"/>
    <w:rsid w:val="00F36B6D"/>
    <w:rsid w:val="00F43FA3"/>
    <w:rsid w:val="00F45F04"/>
    <w:rsid w:val="00F54B06"/>
    <w:rsid w:val="00F55648"/>
    <w:rsid w:val="00F605B4"/>
    <w:rsid w:val="00F61498"/>
    <w:rsid w:val="00F62CC8"/>
    <w:rsid w:val="00F70046"/>
    <w:rsid w:val="00F748C2"/>
    <w:rsid w:val="00F74958"/>
    <w:rsid w:val="00F76C5C"/>
    <w:rsid w:val="00F81EF3"/>
    <w:rsid w:val="00F83ABB"/>
    <w:rsid w:val="00F84496"/>
    <w:rsid w:val="00F85DCB"/>
    <w:rsid w:val="00F86F9C"/>
    <w:rsid w:val="00F90D76"/>
    <w:rsid w:val="00FA4FA5"/>
    <w:rsid w:val="00FB1BAF"/>
    <w:rsid w:val="00FC002E"/>
    <w:rsid w:val="00FC1425"/>
    <w:rsid w:val="00FC2C5B"/>
    <w:rsid w:val="00FC4C23"/>
    <w:rsid w:val="00FC642E"/>
    <w:rsid w:val="00FD54F4"/>
    <w:rsid w:val="00FE2AE4"/>
    <w:rsid w:val="00FE689F"/>
    <w:rsid w:val="00FE7809"/>
    <w:rsid w:val="00FF408B"/>
    <w:rsid w:val="00FF6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CE280"/>
  <w15:docId w15:val="{5B345311-F115-4C69-ABE5-9D86C2E2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paragraph" w:customStyle="1" w:styleId="Pa4">
    <w:name w:val="Pa4"/>
    <w:basedOn w:val="Normal"/>
    <w:next w:val="Normal"/>
    <w:uiPriority w:val="99"/>
    <w:rsid w:val="00E47D50"/>
    <w:pPr>
      <w:autoSpaceDE w:val="0"/>
      <w:autoSpaceDN w:val="0"/>
      <w:adjustRightInd w:val="0"/>
      <w:spacing w:after="0" w:line="241" w:lineRule="atLeast"/>
    </w:pPr>
    <w:rPr>
      <w:rFonts w:ascii="Myriad Variable Concept" w:hAnsi="Myriad Variable Conce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448665177">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k\OneDrive%20-%20Department%20of%20Health\Desktop\T%20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34</TotalTime>
  <Pages>39</Pages>
  <Words>13878</Words>
  <Characters>83631</Characters>
  <Application>Microsoft Office Word</Application>
  <DocSecurity>0</DocSecurity>
  <Lines>696</Lines>
  <Paragraphs>194</Paragraphs>
  <ScaleCrop>false</ScaleCrop>
  <HeadingPairs>
    <vt:vector size="2" baseType="variant">
      <vt:variant>
        <vt:lpstr>Title</vt:lpstr>
      </vt:variant>
      <vt:variant>
        <vt:i4>1</vt:i4>
      </vt:variant>
    </vt:vector>
  </HeadingPairs>
  <TitlesOfParts>
    <vt:vector size="1" baseType="lpstr">
      <vt:lpstr>Communicable Diseases Intelligence - Australian recommendations for the Management of Drug-Resistant Tuberculosis, 2023</vt:lpstr>
    </vt:vector>
  </TitlesOfParts>
  <Company>Australian Government, Department of Health</Company>
  <LinksUpToDate>false</LinksUpToDate>
  <CharactersWithSpaces>97315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recommendations for the Management of Drug-Resistant Tuberculosis, 2023</dc:title>
  <dc:subject>This is a set of recommendations for the management of drug-resistant tuberculosis within Australia, as prepared by the National Tuberculosis Advisory Committee.</dc:subject>
  <dc:creator>Richard Stapledon; Ellen Donnan and the National Tuberculosis Advisory Committee</dc:creator>
  <dc:description>© Commonwealth of Australia CC BY-NC-ND ISSN: 2209-6051 (Online)</dc:description>
  <cp:lastModifiedBy>YOUSEFI, Kasra</cp:lastModifiedBy>
  <cp:revision>10</cp:revision>
  <cp:lastPrinted>2018-05-10T02:19:00Z</cp:lastPrinted>
  <dcterms:created xsi:type="dcterms:W3CDTF">2023-10-15T22:57:00Z</dcterms:created>
  <dcterms:modified xsi:type="dcterms:W3CDTF">2023-10-16T01:46:00Z</dcterms:modified>
  <cp:category>Policy and guidelines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19/10/2023</vt:lpwstr>
  </property>
  <property fmtid="{D5CDD505-2E9C-101B-9397-08002B2CF9AE}" pid="5" name="DOI">
    <vt:lpwstr>https://doi.org/10.33321/cdi.2023.47.48</vt:lpwstr>
  </property>
</Properties>
</file>