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5B7BD" w14:textId="77777777" w:rsidR="00A32CF3" w:rsidRPr="007220A8" w:rsidRDefault="00A32CF3" w:rsidP="00A32CF3">
      <w:pPr>
        <w:pStyle w:val="Title"/>
        <w:rPr>
          <w:sz w:val="20"/>
          <w:szCs w:val="20"/>
        </w:rPr>
      </w:pPr>
      <w:r w:rsidRPr="007220A8">
        <w:rPr>
          <w:sz w:val="48"/>
          <w:szCs w:val="44"/>
        </w:rPr>
        <w:t xml:space="preserve">COVID-19 Australia: Epidemiology Report 49 </w:t>
      </w:r>
    </w:p>
    <w:p w14:paraId="3C968F1C" w14:textId="77777777" w:rsidR="00A32CF3" w:rsidRDefault="00A32CF3" w:rsidP="00A32CF3">
      <w:pPr>
        <w:pStyle w:val="Subtitle"/>
        <w:rPr>
          <w:rFonts w:eastAsia="Times New Roman"/>
        </w:rPr>
      </w:pPr>
      <w:r>
        <w:rPr>
          <w:rFonts w:eastAsia="Times New Roman"/>
        </w:rPr>
        <w:t xml:space="preserve">Reporting period ending 29 August 2021 </w:t>
      </w:r>
    </w:p>
    <w:p w14:paraId="76FD0544" w14:textId="77777777" w:rsidR="00A32CF3" w:rsidRDefault="00A32CF3" w:rsidP="00A32CF3">
      <w:r>
        <w:t xml:space="preserve">COVID-19 National Incident Room Surveillance Team </w:t>
      </w:r>
    </w:p>
    <w:p w14:paraId="63BFED00" w14:textId="3CBCB160" w:rsidR="00A32CF3" w:rsidRDefault="00A32CF3" w:rsidP="00A32CF3">
      <w:pPr>
        <w:pStyle w:val="Heading1"/>
      </w:pPr>
      <w:r w:rsidRPr="00A32CF3">
        <w:t>Summary</w:t>
      </w:r>
    </w:p>
    <w:p w14:paraId="2DED788F" w14:textId="5CB69195" w:rsidR="00AA7CFD" w:rsidRPr="00AA7CFD" w:rsidRDefault="00AA7CFD" w:rsidP="00AA7CFD">
      <w:r w:rsidRPr="00C33618">
        <w:rPr>
          <w:rStyle w:val="Heading3Char"/>
          <w:noProof/>
          <w:lang w:val="en-GB"/>
        </w:rPr>
        <mc:AlternateContent>
          <mc:Choice Requires="wps">
            <w:drawing>
              <wp:inline distT="0" distB="0" distL="0" distR="0" wp14:anchorId="62FBDCFD" wp14:editId="7359CA45">
                <wp:extent cx="6625424" cy="5693134"/>
                <wp:effectExtent l="0" t="0" r="23495"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424" cy="5693134"/>
                        </a:xfrm>
                        <a:prstGeom prst="rect">
                          <a:avLst/>
                        </a:prstGeom>
                        <a:solidFill>
                          <a:schemeClr val="accent6">
                            <a:lumMod val="20000"/>
                            <a:lumOff val="80000"/>
                            <a:alpha val="20000"/>
                          </a:schemeClr>
                        </a:solidFill>
                        <a:ln w="3175">
                          <a:solidFill>
                            <a:srgbClr val="FDEADA"/>
                          </a:solidFill>
                          <a:miter lim="800000"/>
                          <a:headEnd/>
                          <a:tailEnd/>
                        </a:ln>
                      </wps:spPr>
                      <wps:txbx>
                        <w:txbxContent>
                          <w:p w14:paraId="718E0F98" w14:textId="77777777" w:rsidR="00CD71A3" w:rsidRDefault="00CD71A3" w:rsidP="00AA7CFD">
                            <w:pPr>
                              <w:rPr>
                                <w:lang w:val="en-GB"/>
                              </w:rPr>
                            </w:pPr>
                            <w:r>
                              <w:rPr>
                                <w:rStyle w:val="Strong"/>
                                <w:lang w:val="en-GB"/>
                              </w:rPr>
                              <w:t>Trends</w:t>
                            </w:r>
                            <w:r>
                              <w:rPr>
                                <w:lang w:val="en-GB"/>
                              </w:rPr>
                              <w:t xml:space="preserve"> – There has been an ongoing increase in the weekly number of new cases of COVID-19 since mid-June 2021. The daily average of 947 cases for this reporting period was more than 2.5 times the previous fortnight’s daily average of 348 cases. There were 13,252 cases of COVID-19 reported this fortnight, bringing the 2021 cumulative case count to 23,935.</w:t>
                            </w:r>
                          </w:p>
                          <w:p w14:paraId="71F925BD" w14:textId="77777777" w:rsidR="00CD71A3" w:rsidRDefault="00CD71A3" w:rsidP="00AA7CFD">
                            <w:pPr>
                              <w:rPr>
                                <w:lang w:val="en-GB"/>
                              </w:rPr>
                            </w:pPr>
                            <w:r>
                              <w:rPr>
                                <w:rStyle w:val="Strong"/>
                                <w:lang w:val="en-GB"/>
                              </w:rPr>
                              <w:t>Local cases</w:t>
                            </w:r>
                            <w:r>
                              <w:rPr>
                                <w:lang w:val="en-GB"/>
                              </w:rPr>
                              <w:t xml:space="preserve"> – There were 13,066 locally-acquired cases reported in Australia this fortnight, representing 99% (13,066/13,252) of cases overall. The majority of </w:t>
                            </w:r>
                            <w:proofErr w:type="gramStart"/>
                            <w:r>
                              <w:rPr>
                                <w:lang w:val="en-GB"/>
                              </w:rPr>
                              <w:t>locally-acquired</w:t>
                            </w:r>
                            <w:proofErr w:type="gramEnd"/>
                            <w:r>
                              <w:rPr>
                                <w:lang w:val="en-GB"/>
                              </w:rPr>
                              <w:t xml:space="preserve"> cases this fortnight were reported in New South Wales (92%; 12,032/13,066), followed by Victoria (6%; 793/13,066).</w:t>
                            </w:r>
                          </w:p>
                          <w:p w14:paraId="7E29B6AC" w14:textId="2496A5D0" w:rsidR="00CD71A3" w:rsidRPr="00C33618" w:rsidRDefault="00CD71A3" w:rsidP="00AA7CFD">
                            <w:pPr>
                              <w:rPr>
                                <w:lang w:val="en-GB"/>
                              </w:rPr>
                            </w:pPr>
                            <w:r>
                              <w:rPr>
                                <w:rStyle w:val="Strong"/>
                                <w:lang w:val="en-GB"/>
                              </w:rPr>
                              <w:t>Clusters and high-risk settings</w:t>
                            </w:r>
                            <w:r>
                              <w:rPr>
                                <w:lang w:val="en-GB"/>
                              </w:rPr>
                              <w:t xml:space="preserve"> – The size of the Sydney Metropolitan Outbreak in New South Wales continued to increase during the reporting period. As at 29 August 2021, there had been 20,096 </w:t>
                            </w:r>
                            <w:proofErr w:type="gramStart"/>
                            <w:r>
                              <w:rPr>
                                <w:lang w:val="en-GB"/>
                              </w:rPr>
                              <w:t>locally-acquired</w:t>
                            </w:r>
                            <w:proofErr w:type="gramEnd"/>
                            <w:r>
                              <w:rPr>
                                <w:lang w:val="en-GB"/>
                              </w:rPr>
                              <w:t xml:space="preserve"> cases in New South Wales, including 91 deaths, reported following notification of the first case on 16 June 2021. Genomic testing results showed that this case was infected with the ‘Delta’ SARS-CoV-2 variant of concern (B.1.617.2). Several cases in other states were also linked to this cluster. Whilst the outbreak started in south-east Sydney, the largest proportion of recently-reported cases continued to be among residents of south-western and western Sydney, with cases also reported in residents of regional and remote areas in New South Wales, particularly in western New South Wales. </w:t>
                            </w:r>
                            <w:proofErr w:type="gramStart"/>
                            <w:r>
                              <w:rPr>
                                <w:lang w:val="en-GB"/>
                              </w:rPr>
                              <w:t>Locally-acquired</w:t>
                            </w:r>
                            <w:proofErr w:type="gramEnd"/>
                            <w:r>
                              <w:rPr>
                                <w:lang w:val="en-GB"/>
                              </w:rPr>
                              <w:t xml:space="preserve"> cases reported in Victoria were linked to cases first reported on 5 August 2021. As at 29 August 2021, there were 1,037 cases associated with the Victorian outbreaks, which involved the Delta variant and were closely associated with the current New South Wales and </w:t>
                            </w:r>
                            <w:r w:rsidRPr="009673C3">
                              <w:rPr>
                                <w:lang w:val="en-GB"/>
                              </w:rPr>
                              <w:t>recent July 2021 Victoria</w:t>
                            </w:r>
                            <w:r>
                              <w:rPr>
                                <w:lang w:val="en-GB"/>
                              </w:rPr>
                              <w:t xml:space="preserve"> outbreaks. The exact source of infection for these outbreaks remained under investigation at the end of this reporting period. Most cases in the Victorian outbreaks were in Greater Melbourne. However, cases had also been reported in </w:t>
                            </w:r>
                            <w:proofErr w:type="spellStart"/>
                            <w:r>
                              <w:rPr>
                                <w:lang w:val="en-GB"/>
                              </w:rPr>
                              <w:t>Shepparton</w:t>
                            </w:r>
                            <w:proofErr w:type="spellEnd"/>
                            <w:r>
                              <w:rPr>
                                <w:lang w:val="en-GB"/>
                              </w:rPr>
                              <w:t xml:space="preserve"> in regional Victoria. The size of the outbreak in the Australian Capital Territory continued to increase during this reporting period. The first case in this outbreak was reported on 12 August 2021 and was confirmed to have the Delta variant. The source of infection remained under investigation at the end of this reporting period, though it was genomically linked to the Sydney Metropolitan Outbreak. As at 29 August 2021, a total of 261 cases had been reported as part of this outbreak. In Queensland, all three locally acquired cases notified during the reporting period were part of an outbreak that was genomically linked to returned travellers with the Delta variant, with the first case reported on 30 July 2021. As at 29 August 2021, a total of 148 cases were linked to this outbreak.</w:t>
                            </w:r>
                          </w:p>
                        </w:txbxContent>
                      </wps:txbx>
                      <wps:bodyPr rot="0" vert="horz" wrap="square" lIns="91440" tIns="45720" rIns="91440" bIns="45720" anchor="t" anchorCtr="0">
                        <a:noAutofit/>
                      </wps:bodyPr>
                    </wps:wsp>
                  </a:graphicData>
                </a:graphic>
              </wp:inline>
            </w:drawing>
          </mc:Choice>
          <mc:Fallback>
            <w:pict>
              <v:shapetype w14:anchorId="62FBDCFD" id="_x0000_t202" coordsize="21600,21600" o:spt="202" path="m,l,21600r21600,l21600,xe">
                <v:stroke joinstyle="miter"/>
                <v:path gradientshapeok="t" o:connecttype="rect"/>
              </v:shapetype>
              <v:shape id="Text Box 2" o:spid="_x0000_s1026" type="#_x0000_t202" style="width:521.7pt;height:4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" fillcolor="#fde9d9 [665]" strokecolor="#fdeada" strokeweight=".25pt">
                <v:fill opacity="13107f"/>
                <v:textbox>
                  <w:txbxContent>
                    <w:p w14:paraId="718E0F98" w14:textId="77777777" w:rsidR="00CD71A3" w:rsidRDefault="00CD71A3" w:rsidP="00AA7CFD">
                      <w:pPr>
                        <w:rPr>
                          <w:lang w:val="en-GB"/>
                        </w:rPr>
                      </w:pPr>
                      <w:r>
                        <w:rPr>
                          <w:rStyle w:val="Strong"/>
                          <w:lang w:val="en-GB"/>
                        </w:rPr>
                        <w:t>Trends</w:t>
                      </w:r>
                      <w:r>
                        <w:rPr>
                          <w:lang w:val="en-GB"/>
                        </w:rPr>
                        <w:t xml:space="preserve"> – There has been an ongoing increase in the weekly number of new cases of COVID-19 since mid-June 2021. The daily average of 947 cases for this reporting period was more than 2.5 times the previous fortnight’s daily average of 348 cases. There were 13,252 cases of COVID-19 reported this fortnight, bringing the 2021 cumulative case count to 23,935.</w:t>
                      </w:r>
                    </w:p>
                    <w:p w14:paraId="71F925BD" w14:textId="77777777" w:rsidR="00CD71A3" w:rsidRDefault="00CD71A3" w:rsidP="00AA7CFD">
                      <w:pPr>
                        <w:rPr>
                          <w:lang w:val="en-GB"/>
                        </w:rPr>
                      </w:pPr>
                      <w:r>
                        <w:rPr>
                          <w:rStyle w:val="Strong"/>
                          <w:lang w:val="en-GB"/>
                        </w:rPr>
                        <w:t>Local cases</w:t>
                      </w:r>
                      <w:r>
                        <w:rPr>
                          <w:lang w:val="en-GB"/>
                        </w:rPr>
                        <w:t xml:space="preserve"> – There were 13,066 locally-acquired cases reported in Australia this fortnight, representing 99% (13,066/13,252) of cases overall. The majority of </w:t>
                      </w:r>
                      <w:proofErr w:type="gramStart"/>
                      <w:r>
                        <w:rPr>
                          <w:lang w:val="en-GB"/>
                        </w:rPr>
                        <w:t>locally-acquired</w:t>
                      </w:r>
                      <w:proofErr w:type="gramEnd"/>
                      <w:r>
                        <w:rPr>
                          <w:lang w:val="en-GB"/>
                        </w:rPr>
                        <w:t xml:space="preserve"> cases this fortnight were reported in New South Wales (92%; 12,032/13,066), followed by Victoria (6%; 793/13,066).</w:t>
                      </w:r>
                    </w:p>
                    <w:p w14:paraId="7E29B6AC" w14:textId="2496A5D0" w:rsidR="00CD71A3" w:rsidRPr="00C33618" w:rsidRDefault="00CD71A3" w:rsidP="00AA7CFD">
                      <w:pPr>
                        <w:rPr>
                          <w:lang w:val="en-GB"/>
                        </w:rPr>
                      </w:pPr>
                      <w:r>
                        <w:rPr>
                          <w:rStyle w:val="Strong"/>
                          <w:lang w:val="en-GB"/>
                        </w:rPr>
                        <w:t>Clusters and high-risk settings</w:t>
                      </w:r>
                      <w:r>
                        <w:rPr>
                          <w:lang w:val="en-GB"/>
                        </w:rPr>
                        <w:t xml:space="preserve"> – The size of the Sydney Metropolitan Outbreak in New South Wales continued to increase during the reporting period. As at 29 August 2021, there had been 20,096 </w:t>
                      </w:r>
                      <w:proofErr w:type="gramStart"/>
                      <w:r>
                        <w:rPr>
                          <w:lang w:val="en-GB"/>
                        </w:rPr>
                        <w:t>locally-acquired</w:t>
                      </w:r>
                      <w:proofErr w:type="gramEnd"/>
                      <w:r>
                        <w:rPr>
                          <w:lang w:val="en-GB"/>
                        </w:rPr>
                        <w:t xml:space="preserve"> cases in New South Wales, including 91 deaths, reported following notification of the first case on 16 June 2021. Genomic testing results showed that this case was infected with the ‘Delta’ SARS-CoV-2 variant of concern (B.1.617.2). Several cases in other states were also linked to this cluster. Whilst the outbreak started in south-east Sydney, the largest proportion of recently-reported cases continued to be among residents of south-western and western Sydney, with cases also reported in residents of regional and remote areas in New South Wales, particularly in western New South Wales. </w:t>
                      </w:r>
                      <w:proofErr w:type="gramStart"/>
                      <w:r>
                        <w:rPr>
                          <w:lang w:val="en-GB"/>
                        </w:rPr>
                        <w:t>Locally-acquired</w:t>
                      </w:r>
                      <w:proofErr w:type="gramEnd"/>
                      <w:r>
                        <w:rPr>
                          <w:lang w:val="en-GB"/>
                        </w:rPr>
                        <w:t xml:space="preserve"> cases reported in Victoria were linked to cases first reported on 5 August 2021. As at 29 August 2021, there were 1,037 cases associated with the Victorian outbreaks, which involved the Delta variant and were closely associated with the current New South Wales and </w:t>
                      </w:r>
                      <w:r w:rsidRPr="009673C3">
                        <w:rPr>
                          <w:lang w:val="en-GB"/>
                        </w:rPr>
                        <w:t>recent July 2021 Victoria</w:t>
                      </w:r>
                      <w:r>
                        <w:rPr>
                          <w:lang w:val="en-GB"/>
                        </w:rPr>
                        <w:t xml:space="preserve"> outbreaks. The exact source of infection for these outbreaks remained under investigation at the end of this reporting period. Most cases in the Victorian outbreaks were in Greater Melbourne. However, cases had also been reported in </w:t>
                      </w:r>
                      <w:proofErr w:type="spellStart"/>
                      <w:r>
                        <w:rPr>
                          <w:lang w:val="en-GB"/>
                        </w:rPr>
                        <w:t>Shepparton</w:t>
                      </w:r>
                      <w:proofErr w:type="spellEnd"/>
                      <w:r>
                        <w:rPr>
                          <w:lang w:val="en-GB"/>
                        </w:rPr>
                        <w:t xml:space="preserve"> in regional Victoria. The size of the outbreak in the Australian Capital Territory continued to increase during this reporting period. The first case in this outbreak was reported on 12 August 2021 and was confirmed to have the Delta variant. The source of infection remained under investigation at the end of this reporting period, though it was genomically linked to the Sydney Metropolitan Outbreak. As at 29 August 2021, a total of 261 cases had been reported as part of this outbreak. In Queensland, all three locally acquired cases notified during the reporting period were part of an outbreak that was genomically linked to returned travellers with the Delta variant, with the first case reported on 30 July 2021. As at 29 August 2021, a total of 148 cases were linked to this outbreak.</w:t>
                      </w:r>
                    </w:p>
                  </w:txbxContent>
                </v:textbox>
                <w10:anchorlock/>
              </v:shape>
            </w:pict>
          </mc:Fallback>
        </mc:AlternateContent>
      </w:r>
    </w:p>
    <w:p w14:paraId="73E3F0EA" w14:textId="77777777" w:rsidR="00AA7CFD" w:rsidRDefault="00AA7CFD">
      <w:r>
        <w:br w:type="page"/>
      </w:r>
    </w:p>
    <w:p w14:paraId="0610379F" w14:textId="77777777" w:rsidR="00AA7CFD" w:rsidRDefault="00AA7CFD" w:rsidP="00A32CF3">
      <w:r w:rsidRPr="00C33618">
        <w:rPr>
          <w:rStyle w:val="Heading3Char"/>
          <w:noProof/>
          <w:lang w:val="en-GB"/>
        </w:rPr>
        <w:lastRenderedPageBreak/>
        <mc:AlternateContent>
          <mc:Choice Requires="wps">
            <w:drawing>
              <wp:inline distT="0" distB="0" distL="0" distR="0" wp14:anchorId="4A5002F0" wp14:editId="7A8D9237">
                <wp:extent cx="6625424" cy="3832529"/>
                <wp:effectExtent l="0" t="0" r="23495"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424" cy="3832529"/>
                        </a:xfrm>
                        <a:prstGeom prst="rect">
                          <a:avLst/>
                        </a:prstGeom>
                        <a:solidFill>
                          <a:schemeClr val="accent6">
                            <a:lumMod val="20000"/>
                            <a:lumOff val="80000"/>
                            <a:alpha val="20000"/>
                          </a:schemeClr>
                        </a:solidFill>
                        <a:ln w="3175">
                          <a:solidFill>
                            <a:srgbClr val="FDEADA"/>
                          </a:solidFill>
                          <a:miter lim="800000"/>
                          <a:headEnd/>
                          <a:tailEnd/>
                        </a:ln>
                      </wps:spPr>
                      <wps:txbx>
                        <w:txbxContent>
                          <w:p w14:paraId="0A9E3E11" w14:textId="77777777" w:rsidR="00CD71A3" w:rsidRDefault="00CD71A3" w:rsidP="00AA7CFD">
                            <w:pPr>
                              <w:rPr>
                                <w:lang w:val="en-GB"/>
                              </w:rPr>
                            </w:pPr>
                            <w:r>
                              <w:rPr>
                                <w:rStyle w:val="Strong"/>
                                <w:lang w:val="en-GB"/>
                              </w:rPr>
                              <w:t>Aboriginal and Torres Strait Islander persons</w:t>
                            </w:r>
                            <w:r>
                              <w:rPr>
                                <w:lang w:val="en-GB"/>
                              </w:rPr>
                              <w:t xml:space="preserve"> – During the reporting period, 577 new Aboriginal and Torres Strait Islander cases were notified, of which 575 were locally acquired from New South Wales and two were locally acquired from the Australian Capital Territory. The first COVID-19-associated death in an Aboriginal and Torres Strait Islander person was also reported during the reporting period and was associated with the western New South Wales regional outbreak. In 2021 to date, there were 743 cases and one death reported among Aboriginal and Torres Strait Islander people.</w:t>
                            </w:r>
                          </w:p>
                          <w:p w14:paraId="73BFCBCB" w14:textId="77777777" w:rsidR="00CD71A3" w:rsidRDefault="00CD71A3" w:rsidP="00AA7CFD">
                            <w:pPr>
                              <w:rPr>
                                <w:lang w:val="en-GB"/>
                              </w:rPr>
                            </w:pPr>
                            <w:r>
                              <w:rPr>
                                <w:rStyle w:val="Strong"/>
                                <w:lang w:val="en-GB"/>
                              </w:rPr>
                              <w:t>Overseas cases</w:t>
                            </w:r>
                            <w:r>
                              <w:rPr>
                                <w:lang w:val="en-GB"/>
                              </w:rPr>
                              <w:t xml:space="preserve"> – There were 85 overseas-acquired cases this reporting period, with the largest number of cases reported in New South Wales (41%; 35/85), followed by Western Australia (29%; 25/85) and Queensland (19%; 16/85).</w:t>
                            </w:r>
                          </w:p>
                          <w:p w14:paraId="1FFA1EBD" w14:textId="77777777" w:rsidR="00CD71A3" w:rsidRDefault="00CD71A3" w:rsidP="00AA7CFD">
                            <w:pPr>
                              <w:rPr>
                                <w:lang w:val="en-GB"/>
                              </w:rPr>
                            </w:pPr>
                            <w:r>
                              <w:rPr>
                                <w:rStyle w:val="Strong"/>
                                <w:lang w:val="en-GB"/>
                              </w:rPr>
                              <w:t>Severity</w:t>
                            </w:r>
                            <w:r>
                              <w:rPr>
                                <w:lang w:val="en-GB"/>
                              </w:rPr>
                              <w:t xml:space="preserve"> – In 2021, based on data from selected jurisdictions with reliable and complete hospitalisation data, 11% (1,386/12,269) of cases with an illness onset up to 16 August 2021 were hospitalised, 3% (309/12,269) required intensive care and 1% (87/12,269) died. Given the delay between illness onset and severe illness, cases with an onset in the last two weeks were excluded from the analysis on severity. In 2021, the case fatality rate for the year to date was less than 1% (97/23,935) with 37 new COVID-19-associated deaths notified during this reporting period.</w:t>
                            </w:r>
                          </w:p>
                          <w:p w14:paraId="5979F307" w14:textId="77777777" w:rsidR="00CD71A3" w:rsidRPr="00C33618" w:rsidRDefault="00CD71A3" w:rsidP="00AA7CFD">
                            <w:pPr>
                              <w:rPr>
                                <w:lang w:val="en-GB"/>
                              </w:rPr>
                            </w:pPr>
                            <w:r>
                              <w:rPr>
                                <w:rStyle w:val="Strong"/>
                                <w:lang w:val="en-GB"/>
                              </w:rPr>
                              <w:t>Vaccinations</w:t>
                            </w:r>
                            <w:r>
                              <w:rPr>
                                <w:lang w:val="en-GB"/>
                              </w:rPr>
                              <w:t xml:space="preserve"> – As at 29 August 2021, there had been 19,085,741 doses of COVID-19 vaccine administered in Australia.</w:t>
                            </w:r>
                          </w:p>
                        </w:txbxContent>
                      </wps:txbx>
                      <wps:bodyPr rot="0" vert="horz" wrap="square" lIns="91440" tIns="45720" rIns="91440" bIns="45720" anchor="t" anchorCtr="0">
                        <a:noAutofit/>
                      </wps:bodyPr>
                    </wps:wsp>
                  </a:graphicData>
                </a:graphic>
              </wp:inline>
            </w:drawing>
          </mc:Choice>
          <mc:Fallback>
            <w:pict>
              <v:shape w14:anchorId="4A5002F0" id="_x0000_s1027" type="#_x0000_t202" style="width:521.7pt;height:3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" fillcolor="#fde9d9 [665]" strokecolor="#fdeada" strokeweight=".25pt">
                <v:fill opacity="13107f"/>
                <v:textbox>
                  <w:txbxContent>
                    <w:p w14:paraId="0A9E3E11" w14:textId="77777777" w:rsidR="00CD71A3" w:rsidRDefault="00CD71A3" w:rsidP="00AA7CFD">
                      <w:pPr>
                        <w:rPr>
                          <w:lang w:val="en-GB"/>
                        </w:rPr>
                      </w:pPr>
                      <w:r>
                        <w:rPr>
                          <w:rStyle w:val="Strong"/>
                          <w:lang w:val="en-GB"/>
                        </w:rPr>
                        <w:t>Aboriginal and Torres Strait Islander persons</w:t>
                      </w:r>
                      <w:r>
                        <w:rPr>
                          <w:lang w:val="en-GB"/>
                        </w:rPr>
                        <w:t xml:space="preserve"> – During the reporting period, 577 new Aboriginal and Torres Strait Islander cases were notified, of which 575 were locally acquired from New South Wales and two were locally acquired from the Australian Capital Territory. The first COVID-19-associated death in an Aboriginal and Torres Strait Islander person was also reported during the reporting period and was associated with the western New South Wales regional outbreak. In 2021 to date, there were 743 cases and one death reported among Aboriginal and Torres Strait Islander people.</w:t>
                      </w:r>
                    </w:p>
                    <w:p w14:paraId="73BFCBCB" w14:textId="77777777" w:rsidR="00CD71A3" w:rsidRDefault="00CD71A3" w:rsidP="00AA7CFD">
                      <w:pPr>
                        <w:rPr>
                          <w:lang w:val="en-GB"/>
                        </w:rPr>
                      </w:pPr>
                      <w:r>
                        <w:rPr>
                          <w:rStyle w:val="Strong"/>
                          <w:lang w:val="en-GB"/>
                        </w:rPr>
                        <w:t>Overseas cases</w:t>
                      </w:r>
                      <w:r>
                        <w:rPr>
                          <w:lang w:val="en-GB"/>
                        </w:rPr>
                        <w:t xml:space="preserve"> – There were 85 overseas-acquired cases this reporting period, with the largest number of cases reported in New South Wales (41%; 35/85), followed by Western Australia (29%; 25/85) and Queensland (19%; 16/85).</w:t>
                      </w:r>
                    </w:p>
                    <w:p w14:paraId="1FFA1EBD" w14:textId="77777777" w:rsidR="00CD71A3" w:rsidRDefault="00CD71A3" w:rsidP="00AA7CFD">
                      <w:pPr>
                        <w:rPr>
                          <w:lang w:val="en-GB"/>
                        </w:rPr>
                      </w:pPr>
                      <w:r>
                        <w:rPr>
                          <w:rStyle w:val="Strong"/>
                          <w:lang w:val="en-GB"/>
                        </w:rPr>
                        <w:t>Severity</w:t>
                      </w:r>
                      <w:r>
                        <w:rPr>
                          <w:lang w:val="en-GB"/>
                        </w:rPr>
                        <w:t xml:space="preserve"> – In 2021, based on data from selected jurisdictions with reliable and complete hospitalisation data, 11% (1,386/12,269) of cases with an illness onset up to 16 August 2021 were hospitalised, 3% (309/12,269) required intensive care and 1% (87/12,269) died. Given the delay between illness onset and severe illness, cases with an onset in the last two weeks were excluded from the analysis on severity. In 2021, the case fatality rate for the year to date was less than 1% (97/23,935) with 37 new COVID-19-associated deaths notified during this reporting period.</w:t>
                      </w:r>
                    </w:p>
                    <w:p w14:paraId="5979F307" w14:textId="77777777" w:rsidR="00CD71A3" w:rsidRPr="00C33618" w:rsidRDefault="00CD71A3" w:rsidP="00AA7CFD">
                      <w:pPr>
                        <w:rPr>
                          <w:lang w:val="en-GB"/>
                        </w:rPr>
                      </w:pPr>
                      <w:r>
                        <w:rPr>
                          <w:rStyle w:val="Strong"/>
                          <w:lang w:val="en-GB"/>
                        </w:rPr>
                        <w:t>Vaccinations</w:t>
                      </w:r>
                      <w:r>
                        <w:rPr>
                          <w:lang w:val="en-GB"/>
                        </w:rPr>
                        <w:t xml:space="preserve"> – As at 29 August 2021, there had been 19,085,741 doses of COVID-19 vaccine administered in Australia.</w:t>
                      </w:r>
                    </w:p>
                  </w:txbxContent>
                </v:textbox>
                <w10:anchorlock/>
              </v:shape>
            </w:pict>
          </mc:Fallback>
        </mc:AlternateContent>
      </w:r>
    </w:p>
    <w:p w14:paraId="54F3F709" w14:textId="76F73DF1" w:rsidR="00A32CF3" w:rsidRDefault="00A32CF3" w:rsidP="00A32CF3">
      <w:r>
        <w:t xml:space="preserve">Keywords: </w:t>
      </w:r>
      <w:r w:rsidRPr="009F07FC">
        <w:rPr>
          <w:rStyle w:val="Emphasis"/>
          <w:b w:val="0"/>
          <w:bCs w:val="0"/>
        </w:rPr>
        <w:t xml:space="preserve">SARS-CoV-2; novel coronavirus; 2019-nCoV; coronavirus disease 2019; </w:t>
      </w:r>
      <w:r>
        <w:t>COVID-19</w:t>
      </w:r>
      <w:r w:rsidRPr="009F07FC">
        <w:rPr>
          <w:rStyle w:val="Emphasis"/>
          <w:b w:val="0"/>
          <w:bCs w:val="0"/>
        </w:rPr>
        <w:t xml:space="preserve">; acute respiratory disease; epidemiology; Australia </w:t>
      </w:r>
    </w:p>
    <w:p w14:paraId="5F8FDE63" w14:textId="5F73CC25" w:rsidR="00AA7CFD" w:rsidRDefault="00A32CF3" w:rsidP="007220A8">
      <w:r>
        <w:t>This reporting period covers the two-week period 16–29 August 2021, with data for this period compared to that from the previous two-week reporting period (2–15 August 2021).</w:t>
      </w:r>
      <w:r>
        <w:rPr>
          <w:vertAlign w:val="superscript"/>
        </w:rPr>
        <w:t>1</w:t>
      </w:r>
      <w:r>
        <w:t xml:space="preserve"> The focus of this report is on the epidemiological situation in Australia since the beginning of 2021. Readers are encouraged to consult prior reports in this series for information on the epidemiology of cases in Australia in 2020. </w:t>
      </w:r>
    </w:p>
    <w:p w14:paraId="24771C90" w14:textId="23B99413" w:rsidR="00A32CF3" w:rsidRDefault="00A32CF3" w:rsidP="007220A8">
      <w:r>
        <w:t>Acute respiratory illness, testing, public health response measures, virology and the international situation are reported in detail on a four-weekly basis and are not included in this report. The latest information on these topics can be found in Epidemiology Report 48,</w:t>
      </w:r>
      <w:r>
        <w:rPr>
          <w:vertAlign w:val="superscript"/>
        </w:rPr>
        <w:t>1</w:t>
      </w:r>
      <w:r>
        <w:t xml:space="preserve"> state and territory health websites</w:t>
      </w:r>
      <w:r w:rsidR="004D04CC">
        <w:rPr>
          <w:rStyle w:val="FootnoteReference"/>
        </w:rPr>
        <w:footnoteReference w:id="2"/>
      </w:r>
      <w:r>
        <w:t>, the World Health Organization’s weekly situation reports</w:t>
      </w:r>
      <w:r w:rsidR="003728C2">
        <w:rPr>
          <w:rStyle w:val="FootnoteReference"/>
        </w:rPr>
        <w:footnoteReference w:id="3"/>
      </w:r>
      <w:r>
        <w:t>, and the Department of Health’s current situation and case numbers webpage.</w:t>
      </w:r>
      <w:r w:rsidR="003728C2">
        <w:rPr>
          <w:rStyle w:val="FootnoteReference"/>
        </w:rPr>
        <w:footnoteReference w:id="4"/>
      </w:r>
      <w:r>
        <w:t xml:space="preserve"> </w:t>
      </w:r>
    </w:p>
    <w:p w14:paraId="088F7D28" w14:textId="407267F6" w:rsidR="00A32CF3" w:rsidRDefault="00A32CF3" w:rsidP="007220A8">
      <w:r>
        <w:t>From report 46 onward, and unless otherwise specified, tabulated data and data within the text are extracted from the National Interoperable Notifiable Diseases Surveillance System (NINDSS)</w:t>
      </w:r>
      <w:r w:rsidR="003728C2">
        <w:rPr>
          <w:rStyle w:val="FootnoteReference"/>
        </w:rPr>
        <w:footnoteReference w:id="5"/>
      </w:r>
      <w:r>
        <w:t xml:space="preserve"> based on ‘notification received date’ rather than ‘diagnosis date’ (see the Technical Supplement for definitions).</w:t>
      </w:r>
      <w:r>
        <w:rPr>
          <w:vertAlign w:val="superscript"/>
        </w:rPr>
        <w:t>2</w:t>
      </w:r>
      <w:r>
        <w:t xml:space="preserve"> As a case’s diagnosis date can be several days prior to the date of its notification, there is potential for newly-notified cases to be excluded from the case count in the current reporting period when reporting by ‘diagnosis date’. Using ‘notification received date’ ensures that the case count for the reporting period better reflects the number of </w:t>
      </w:r>
      <w:proofErr w:type="gramStart"/>
      <w:r>
        <w:t>newly-notified</w:t>
      </w:r>
      <w:proofErr w:type="gramEnd"/>
      <w:r>
        <w:t xml:space="preserve"> cases. As the graphs presented in this report, based on NINDSS data, reflect a larger time period (i.e. year to date and entire pandemic), </w:t>
      </w:r>
      <w:r>
        <w:lastRenderedPageBreak/>
        <w:t xml:space="preserve">these will continue to be based on diagnosis date to enable a more accurate understanding of infection risk and local transmission. </w:t>
      </w:r>
    </w:p>
    <w:p w14:paraId="03C12DE5" w14:textId="77777777" w:rsidR="00A32CF3" w:rsidRPr="007220A8" w:rsidRDefault="00A32CF3" w:rsidP="007220A8">
      <w:pPr>
        <w:pStyle w:val="Heading2"/>
      </w:pPr>
      <w:r w:rsidRPr="007220A8">
        <w:t xml:space="preserve">Background and data sources </w:t>
      </w:r>
    </w:p>
    <w:p w14:paraId="250A4CCF" w14:textId="77777777" w:rsidR="00A32CF3" w:rsidRDefault="00A32CF3" w:rsidP="007220A8">
      <w:r>
        <w:t xml:space="preserve">See the Technical Supplement for general information on COVID-19 including modes of transmission, common </w:t>
      </w:r>
      <w:proofErr w:type="gramStart"/>
      <w:r>
        <w:t>symptoms</w:t>
      </w:r>
      <w:proofErr w:type="gramEnd"/>
      <w:r>
        <w:t xml:space="preserve"> and severity.</w:t>
      </w:r>
      <w:r>
        <w:rPr>
          <w:vertAlign w:val="superscript"/>
        </w:rPr>
        <w:t xml:space="preserve">2 </w:t>
      </w:r>
    </w:p>
    <w:p w14:paraId="173177E5" w14:textId="77777777" w:rsidR="00A32CF3" w:rsidRPr="007220A8" w:rsidRDefault="00A32CF3" w:rsidP="007220A8">
      <w:pPr>
        <w:pStyle w:val="Heading1"/>
      </w:pPr>
      <w:r w:rsidRPr="007220A8">
        <w:t xml:space="preserve">Activity </w:t>
      </w:r>
    </w:p>
    <w:p w14:paraId="5FD145BC" w14:textId="77777777" w:rsidR="00A32CF3" w:rsidRPr="007220A8" w:rsidRDefault="00A32CF3" w:rsidP="007220A8">
      <w:pPr>
        <w:pStyle w:val="Heading2"/>
      </w:pPr>
      <w:r w:rsidRPr="007220A8">
        <w:t xml:space="preserve">COVID-19 trends </w:t>
      </w:r>
    </w:p>
    <w:p w14:paraId="7A6D2A50" w14:textId="77777777" w:rsidR="00A32CF3" w:rsidRPr="007220A8" w:rsidRDefault="00A32CF3" w:rsidP="007220A8">
      <w:pPr>
        <w:pStyle w:val="Heading3"/>
      </w:pPr>
      <w:r w:rsidRPr="007220A8">
        <w:t xml:space="preserve">(NINDSS and jurisdictional reporting to NIR) </w:t>
      </w:r>
    </w:p>
    <w:p w14:paraId="48FD4A47" w14:textId="77777777" w:rsidR="00A32CF3" w:rsidRDefault="00A32CF3" w:rsidP="007220A8">
      <w:r>
        <w:t xml:space="preserve">This fortnight, there were more than double the number of cases reported in the previous fortnight. A total of 13,252 cases had a notification received date within this two-week reporting period (an average of 947 cases per day), compared to 4,877 cases (an average of 348 cases per day) in the previous reporting period. </w:t>
      </w:r>
      <w:proofErr w:type="gramStart"/>
      <w:r>
        <w:t>The majority of</w:t>
      </w:r>
      <w:proofErr w:type="gramEnd"/>
      <w:r>
        <w:t xml:space="preserve"> cases reported in the last 14 days occurred in New South Wales (91%; 12,103/13,252), followed by Victoria (7%; 862/13,252). Tasmania did not report any cases during the reporting period (Table 1). </w:t>
      </w:r>
    </w:p>
    <w:p w14:paraId="7C52E43D" w14:textId="77777777" w:rsidR="00F114FC" w:rsidRPr="008E62F4" w:rsidRDefault="00F114FC" w:rsidP="00F114FC">
      <w:pPr>
        <w:pStyle w:val="CDIFigures"/>
      </w:pPr>
      <w:r w:rsidRPr="008E62F4">
        <w:rPr>
          <w:rStyle w:val="Strong"/>
          <w:b/>
          <w:bCs w:val="0"/>
        </w:rPr>
        <w:t>Table 1: COVID-19 notifications by jurisdiction and source of acquisition, with a notification received date of 16–29 August 2021</w:t>
      </w:r>
      <w:r w:rsidRPr="008E62F4">
        <w:rPr>
          <w:rStyle w:val="Strong"/>
          <w:b/>
          <w:bCs w:val="0"/>
          <w:vertAlign w:val="superscript"/>
        </w:rPr>
        <w:t>a</w:t>
      </w:r>
    </w:p>
    <w:tbl>
      <w:tblPr>
        <w:tblStyle w:val="CDI-StandardTable"/>
        <w:tblW w:w="0" w:type="auto"/>
        <w:tblLook w:val="04A0" w:firstRow="1" w:lastRow="0" w:firstColumn="1" w:lastColumn="0" w:noHBand="0" w:noVBand="1"/>
        <w:tblDescription w:val="Table 1 shows COVID-19 notifications by jurisdiction and by source of acquisition, for cases with a notification received date within the current fortnightly reporting period. There were 13,252 cases notified in the current reporting period, of which 13,066 were acquired locally, 85 were acquired overseas, 100 were under initial investigation and one missing a source of acquisition. Cases were predominantly notified in New South Wales (12,103), with most of these cases (12,032) locally acquired. Other jurisdictions reporting cases were Victoria (862 cases overall), the Australian Capital Territory (238), Western Australia (25), Queensland (21), the Northern Territory (2) and South Australia (1). Tasmania did not report any cases in this reporting period.&#10;"/>
      </w:tblPr>
      <w:tblGrid>
        <w:gridCol w:w="2722"/>
        <w:gridCol w:w="779"/>
        <w:gridCol w:w="779"/>
        <w:gridCol w:w="780"/>
        <w:gridCol w:w="779"/>
        <w:gridCol w:w="779"/>
        <w:gridCol w:w="780"/>
        <w:gridCol w:w="779"/>
        <w:gridCol w:w="780"/>
        <w:gridCol w:w="1509"/>
      </w:tblGrid>
      <w:tr w:rsidR="00F114FC" w:rsidRPr="00B66200" w14:paraId="0D570921" w14:textId="77777777" w:rsidTr="00CD71A3">
        <w:trPr>
          <w:cnfStyle w:val="100000000000" w:firstRow="1" w:lastRow="0" w:firstColumn="0" w:lastColumn="0" w:oddVBand="0" w:evenVBand="0" w:oddHBand="0" w:evenHBand="0" w:firstRowFirstColumn="0" w:firstRowLastColumn="0" w:lastRowFirstColumn="0" w:lastRowLastColumn="0"/>
        </w:trPr>
        <w:tc>
          <w:tcPr>
            <w:tcW w:w="0" w:type="auto"/>
            <w:tcBorders>
              <w:right w:val="single" w:sz="2" w:space="0" w:color="FFFFFF" w:themeColor="background1"/>
            </w:tcBorders>
            <w:hideMark/>
          </w:tcPr>
          <w:p w14:paraId="130AE569" w14:textId="77777777" w:rsidR="00F114FC" w:rsidRPr="00B66200" w:rsidRDefault="00F114FC" w:rsidP="00CD71A3">
            <w:pPr>
              <w:pStyle w:val="NormalWeb"/>
              <w:rPr>
                <w:color w:val="FFFFFF" w:themeColor="background1"/>
              </w:rPr>
            </w:pPr>
            <w:proofErr w:type="spellStart"/>
            <w:r w:rsidRPr="00B66200">
              <w:rPr>
                <w:color w:val="FFFFFF" w:themeColor="background1"/>
              </w:rPr>
              <w:t>Source</w:t>
            </w:r>
            <w:r w:rsidRPr="00B66200">
              <w:rPr>
                <w:color w:val="FFFFFF" w:themeColor="background1"/>
                <w:vertAlign w:val="superscript"/>
              </w:rPr>
              <w:t>b</w:t>
            </w:r>
            <w:proofErr w:type="spellEnd"/>
          </w:p>
        </w:tc>
        <w:tc>
          <w:tcPr>
            <w:tcW w:w="779" w:type="dxa"/>
            <w:tcBorders>
              <w:left w:val="single" w:sz="2" w:space="0" w:color="FFFFFF" w:themeColor="background1"/>
              <w:right w:val="single" w:sz="2" w:space="0" w:color="FFFFFF" w:themeColor="background1"/>
            </w:tcBorders>
            <w:hideMark/>
          </w:tcPr>
          <w:p w14:paraId="240F9A54" w14:textId="77777777" w:rsidR="00F114FC" w:rsidRPr="00B66200" w:rsidRDefault="00F114FC" w:rsidP="00CD71A3">
            <w:pPr>
              <w:pStyle w:val="NormalWeb"/>
              <w:jc w:val="center"/>
              <w:rPr>
                <w:color w:val="FFFFFF" w:themeColor="background1"/>
              </w:rPr>
            </w:pPr>
            <w:r w:rsidRPr="00B66200">
              <w:rPr>
                <w:color w:val="FFFFFF" w:themeColor="background1"/>
              </w:rPr>
              <w:t>ACT</w:t>
            </w:r>
          </w:p>
        </w:tc>
        <w:tc>
          <w:tcPr>
            <w:tcW w:w="779" w:type="dxa"/>
            <w:tcBorders>
              <w:left w:val="single" w:sz="2" w:space="0" w:color="FFFFFF" w:themeColor="background1"/>
              <w:right w:val="single" w:sz="2" w:space="0" w:color="FFFFFF" w:themeColor="background1"/>
            </w:tcBorders>
            <w:hideMark/>
          </w:tcPr>
          <w:p w14:paraId="05A0504D" w14:textId="77777777" w:rsidR="00F114FC" w:rsidRPr="00B66200" w:rsidRDefault="00F114FC" w:rsidP="00CD71A3">
            <w:pPr>
              <w:pStyle w:val="NormalWeb"/>
              <w:jc w:val="center"/>
              <w:rPr>
                <w:color w:val="FFFFFF" w:themeColor="background1"/>
              </w:rPr>
            </w:pPr>
            <w:r w:rsidRPr="00B66200">
              <w:rPr>
                <w:color w:val="FFFFFF" w:themeColor="background1"/>
              </w:rPr>
              <w:t>NSW</w:t>
            </w:r>
          </w:p>
        </w:tc>
        <w:tc>
          <w:tcPr>
            <w:tcW w:w="780" w:type="dxa"/>
            <w:tcBorders>
              <w:left w:val="single" w:sz="2" w:space="0" w:color="FFFFFF" w:themeColor="background1"/>
              <w:right w:val="single" w:sz="2" w:space="0" w:color="FFFFFF" w:themeColor="background1"/>
            </w:tcBorders>
            <w:hideMark/>
          </w:tcPr>
          <w:p w14:paraId="72354DE5" w14:textId="77777777" w:rsidR="00F114FC" w:rsidRPr="00B66200" w:rsidRDefault="00F114FC" w:rsidP="00CD71A3">
            <w:pPr>
              <w:pStyle w:val="NormalWeb"/>
              <w:jc w:val="center"/>
              <w:rPr>
                <w:color w:val="FFFFFF" w:themeColor="background1"/>
              </w:rPr>
            </w:pPr>
            <w:r w:rsidRPr="00B66200">
              <w:rPr>
                <w:color w:val="FFFFFF" w:themeColor="background1"/>
              </w:rPr>
              <w:t>NT</w:t>
            </w:r>
          </w:p>
        </w:tc>
        <w:tc>
          <w:tcPr>
            <w:tcW w:w="779" w:type="dxa"/>
            <w:tcBorders>
              <w:left w:val="single" w:sz="2" w:space="0" w:color="FFFFFF" w:themeColor="background1"/>
              <w:right w:val="single" w:sz="2" w:space="0" w:color="FFFFFF" w:themeColor="background1"/>
            </w:tcBorders>
            <w:hideMark/>
          </w:tcPr>
          <w:p w14:paraId="01FA45AD" w14:textId="77777777" w:rsidR="00F114FC" w:rsidRPr="00B66200" w:rsidRDefault="00F114FC" w:rsidP="00CD71A3">
            <w:pPr>
              <w:pStyle w:val="NormalWeb"/>
              <w:jc w:val="center"/>
              <w:rPr>
                <w:color w:val="FFFFFF" w:themeColor="background1"/>
              </w:rPr>
            </w:pPr>
            <w:r w:rsidRPr="00B66200">
              <w:rPr>
                <w:color w:val="FFFFFF" w:themeColor="background1"/>
              </w:rPr>
              <w:t>Qld</w:t>
            </w:r>
          </w:p>
        </w:tc>
        <w:tc>
          <w:tcPr>
            <w:tcW w:w="779" w:type="dxa"/>
            <w:tcBorders>
              <w:left w:val="single" w:sz="2" w:space="0" w:color="FFFFFF" w:themeColor="background1"/>
              <w:right w:val="single" w:sz="2" w:space="0" w:color="FFFFFF" w:themeColor="background1"/>
            </w:tcBorders>
            <w:hideMark/>
          </w:tcPr>
          <w:p w14:paraId="794FBE82" w14:textId="77777777" w:rsidR="00F114FC" w:rsidRPr="00B66200" w:rsidRDefault="00F114FC" w:rsidP="00CD71A3">
            <w:pPr>
              <w:pStyle w:val="NormalWeb"/>
              <w:jc w:val="center"/>
              <w:rPr>
                <w:color w:val="FFFFFF" w:themeColor="background1"/>
              </w:rPr>
            </w:pPr>
            <w:r w:rsidRPr="00B66200">
              <w:rPr>
                <w:color w:val="FFFFFF" w:themeColor="background1"/>
              </w:rPr>
              <w:t>SA</w:t>
            </w:r>
          </w:p>
        </w:tc>
        <w:tc>
          <w:tcPr>
            <w:tcW w:w="780" w:type="dxa"/>
            <w:tcBorders>
              <w:left w:val="single" w:sz="2" w:space="0" w:color="FFFFFF" w:themeColor="background1"/>
              <w:right w:val="single" w:sz="2" w:space="0" w:color="FFFFFF" w:themeColor="background1"/>
            </w:tcBorders>
            <w:hideMark/>
          </w:tcPr>
          <w:p w14:paraId="034C7812" w14:textId="77777777" w:rsidR="00F114FC" w:rsidRPr="00B66200" w:rsidRDefault="00F114FC" w:rsidP="00CD71A3">
            <w:pPr>
              <w:pStyle w:val="NormalWeb"/>
              <w:jc w:val="center"/>
              <w:rPr>
                <w:color w:val="FFFFFF" w:themeColor="background1"/>
              </w:rPr>
            </w:pPr>
            <w:r w:rsidRPr="00B66200">
              <w:rPr>
                <w:color w:val="FFFFFF" w:themeColor="background1"/>
              </w:rPr>
              <w:t>Tas.</w:t>
            </w:r>
          </w:p>
        </w:tc>
        <w:tc>
          <w:tcPr>
            <w:tcW w:w="779" w:type="dxa"/>
            <w:tcBorders>
              <w:left w:val="single" w:sz="2" w:space="0" w:color="FFFFFF" w:themeColor="background1"/>
              <w:right w:val="single" w:sz="2" w:space="0" w:color="FFFFFF" w:themeColor="background1"/>
            </w:tcBorders>
            <w:hideMark/>
          </w:tcPr>
          <w:p w14:paraId="27A6F1E1" w14:textId="77777777" w:rsidR="00F114FC" w:rsidRPr="00B66200" w:rsidRDefault="00F114FC" w:rsidP="00CD71A3">
            <w:pPr>
              <w:pStyle w:val="NormalWeb"/>
              <w:jc w:val="center"/>
              <w:rPr>
                <w:color w:val="FFFFFF" w:themeColor="background1"/>
              </w:rPr>
            </w:pPr>
            <w:r w:rsidRPr="00B66200">
              <w:rPr>
                <w:color w:val="FFFFFF" w:themeColor="background1"/>
              </w:rPr>
              <w:t>Vic.</w:t>
            </w:r>
          </w:p>
        </w:tc>
        <w:tc>
          <w:tcPr>
            <w:tcW w:w="780" w:type="dxa"/>
            <w:tcBorders>
              <w:left w:val="single" w:sz="2" w:space="0" w:color="FFFFFF" w:themeColor="background1"/>
              <w:right w:val="single" w:sz="2" w:space="0" w:color="FFFFFF" w:themeColor="background1"/>
            </w:tcBorders>
            <w:hideMark/>
          </w:tcPr>
          <w:p w14:paraId="4A9A0614" w14:textId="77777777" w:rsidR="00F114FC" w:rsidRPr="00B66200" w:rsidRDefault="00F114FC" w:rsidP="00CD71A3">
            <w:pPr>
              <w:pStyle w:val="NormalWeb"/>
              <w:jc w:val="center"/>
              <w:rPr>
                <w:color w:val="FFFFFF" w:themeColor="background1"/>
              </w:rPr>
            </w:pPr>
            <w:r w:rsidRPr="00B66200">
              <w:rPr>
                <w:color w:val="FFFFFF" w:themeColor="background1"/>
              </w:rPr>
              <w:t>WA</w:t>
            </w:r>
          </w:p>
        </w:tc>
        <w:tc>
          <w:tcPr>
            <w:tcW w:w="1509" w:type="dxa"/>
            <w:tcBorders>
              <w:left w:val="single" w:sz="2" w:space="0" w:color="FFFFFF" w:themeColor="background1"/>
            </w:tcBorders>
            <w:hideMark/>
          </w:tcPr>
          <w:p w14:paraId="11E806BC" w14:textId="77777777" w:rsidR="00F114FC" w:rsidRPr="00B66200" w:rsidRDefault="00F114FC" w:rsidP="00CD71A3">
            <w:pPr>
              <w:pStyle w:val="NormalWeb"/>
              <w:jc w:val="center"/>
              <w:rPr>
                <w:color w:val="FFFFFF" w:themeColor="background1"/>
              </w:rPr>
            </w:pPr>
            <w:r w:rsidRPr="00B66200">
              <w:rPr>
                <w:color w:val="FFFFFF" w:themeColor="background1"/>
              </w:rPr>
              <w:t>Australia</w:t>
            </w:r>
          </w:p>
        </w:tc>
      </w:tr>
      <w:tr w:rsidR="00F114FC" w14:paraId="6750B173" w14:textId="77777777" w:rsidTr="00CD71A3">
        <w:tblPrEx>
          <w:tblCellMar>
            <w:top w:w="57" w:type="dxa"/>
            <w:left w:w="57" w:type="dxa"/>
            <w:bottom w:w="57" w:type="dxa"/>
            <w:right w:w="57" w:type="dxa"/>
          </w:tblCellMar>
        </w:tblPrEx>
        <w:tc>
          <w:tcPr>
            <w:tcW w:w="0" w:type="auto"/>
            <w:hideMark/>
          </w:tcPr>
          <w:p w14:paraId="5F05FE9E" w14:textId="77777777" w:rsidR="00F114FC" w:rsidRDefault="00F114FC" w:rsidP="00CD71A3">
            <w:pPr>
              <w:pStyle w:val="NormalWeb"/>
            </w:pPr>
            <w:r>
              <w:t>Overseas</w:t>
            </w:r>
          </w:p>
        </w:tc>
        <w:tc>
          <w:tcPr>
            <w:tcW w:w="779" w:type="dxa"/>
            <w:hideMark/>
          </w:tcPr>
          <w:p w14:paraId="0405E61E" w14:textId="77777777" w:rsidR="00F114FC" w:rsidRDefault="00F114FC" w:rsidP="00CD71A3">
            <w:pPr>
              <w:pStyle w:val="NormalWeb"/>
              <w:jc w:val="center"/>
            </w:pPr>
            <w:r>
              <w:t>0</w:t>
            </w:r>
          </w:p>
        </w:tc>
        <w:tc>
          <w:tcPr>
            <w:tcW w:w="779" w:type="dxa"/>
            <w:hideMark/>
          </w:tcPr>
          <w:p w14:paraId="7159C3E5" w14:textId="77777777" w:rsidR="00F114FC" w:rsidRDefault="00F114FC" w:rsidP="00CD71A3">
            <w:pPr>
              <w:pStyle w:val="NormalWeb"/>
              <w:jc w:val="center"/>
            </w:pPr>
            <w:r>
              <w:t>35</w:t>
            </w:r>
          </w:p>
        </w:tc>
        <w:tc>
          <w:tcPr>
            <w:tcW w:w="780" w:type="dxa"/>
            <w:hideMark/>
          </w:tcPr>
          <w:p w14:paraId="1BBD0E79" w14:textId="77777777" w:rsidR="00F114FC" w:rsidRDefault="00F114FC" w:rsidP="00CD71A3">
            <w:pPr>
              <w:pStyle w:val="NormalWeb"/>
              <w:jc w:val="center"/>
            </w:pPr>
            <w:r>
              <w:t>2</w:t>
            </w:r>
          </w:p>
        </w:tc>
        <w:tc>
          <w:tcPr>
            <w:tcW w:w="779" w:type="dxa"/>
            <w:hideMark/>
          </w:tcPr>
          <w:p w14:paraId="3EE0E92F" w14:textId="77777777" w:rsidR="00F114FC" w:rsidRDefault="00F114FC" w:rsidP="00CD71A3">
            <w:pPr>
              <w:pStyle w:val="NormalWeb"/>
              <w:jc w:val="center"/>
            </w:pPr>
            <w:r>
              <w:t>16</w:t>
            </w:r>
          </w:p>
        </w:tc>
        <w:tc>
          <w:tcPr>
            <w:tcW w:w="779" w:type="dxa"/>
            <w:hideMark/>
          </w:tcPr>
          <w:p w14:paraId="555E96E0" w14:textId="77777777" w:rsidR="00F114FC" w:rsidRDefault="00F114FC" w:rsidP="00CD71A3">
            <w:pPr>
              <w:pStyle w:val="NormalWeb"/>
              <w:jc w:val="center"/>
            </w:pPr>
            <w:r>
              <w:t>1</w:t>
            </w:r>
          </w:p>
        </w:tc>
        <w:tc>
          <w:tcPr>
            <w:tcW w:w="780" w:type="dxa"/>
            <w:hideMark/>
          </w:tcPr>
          <w:p w14:paraId="28CEF14F" w14:textId="77777777" w:rsidR="00F114FC" w:rsidRDefault="00F114FC" w:rsidP="00CD71A3">
            <w:pPr>
              <w:pStyle w:val="NormalWeb"/>
              <w:jc w:val="center"/>
            </w:pPr>
            <w:r>
              <w:t>0</w:t>
            </w:r>
          </w:p>
        </w:tc>
        <w:tc>
          <w:tcPr>
            <w:tcW w:w="779" w:type="dxa"/>
            <w:hideMark/>
          </w:tcPr>
          <w:p w14:paraId="260C26B0" w14:textId="77777777" w:rsidR="00F114FC" w:rsidRDefault="00F114FC" w:rsidP="00CD71A3">
            <w:pPr>
              <w:pStyle w:val="NormalWeb"/>
              <w:jc w:val="center"/>
            </w:pPr>
            <w:r>
              <w:t>6</w:t>
            </w:r>
          </w:p>
        </w:tc>
        <w:tc>
          <w:tcPr>
            <w:tcW w:w="780" w:type="dxa"/>
            <w:hideMark/>
          </w:tcPr>
          <w:p w14:paraId="3B34F040" w14:textId="77777777" w:rsidR="00F114FC" w:rsidRDefault="00F114FC" w:rsidP="00CD71A3">
            <w:pPr>
              <w:pStyle w:val="NormalWeb"/>
              <w:jc w:val="center"/>
            </w:pPr>
            <w:r>
              <w:t>25</w:t>
            </w:r>
          </w:p>
        </w:tc>
        <w:tc>
          <w:tcPr>
            <w:tcW w:w="1509" w:type="dxa"/>
            <w:hideMark/>
          </w:tcPr>
          <w:p w14:paraId="78F19792" w14:textId="77777777" w:rsidR="00F114FC" w:rsidRDefault="00F114FC" w:rsidP="00CD71A3">
            <w:pPr>
              <w:pStyle w:val="NormalWeb"/>
              <w:jc w:val="center"/>
            </w:pPr>
            <w:r>
              <w:t>85</w:t>
            </w:r>
          </w:p>
        </w:tc>
      </w:tr>
      <w:tr w:rsidR="00F114FC" w14:paraId="62085DA1"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DB47AE5" w14:textId="77777777" w:rsidR="00F114FC" w:rsidRDefault="00F114FC" w:rsidP="00CD71A3">
            <w:pPr>
              <w:pStyle w:val="NormalWeb"/>
            </w:pPr>
            <w:r>
              <w:t>Local</w:t>
            </w:r>
          </w:p>
        </w:tc>
        <w:tc>
          <w:tcPr>
            <w:tcW w:w="779" w:type="dxa"/>
            <w:hideMark/>
          </w:tcPr>
          <w:p w14:paraId="2FDB6F2C" w14:textId="77777777" w:rsidR="00F114FC" w:rsidRDefault="00F114FC" w:rsidP="00CD71A3">
            <w:pPr>
              <w:pStyle w:val="NormalWeb"/>
              <w:jc w:val="center"/>
            </w:pPr>
            <w:r>
              <w:t>238</w:t>
            </w:r>
          </w:p>
        </w:tc>
        <w:tc>
          <w:tcPr>
            <w:tcW w:w="779" w:type="dxa"/>
            <w:hideMark/>
          </w:tcPr>
          <w:p w14:paraId="1044A582" w14:textId="77777777" w:rsidR="00F114FC" w:rsidRDefault="00F114FC" w:rsidP="00CD71A3">
            <w:pPr>
              <w:pStyle w:val="NormalWeb"/>
              <w:jc w:val="center"/>
            </w:pPr>
            <w:r>
              <w:t>12,032</w:t>
            </w:r>
          </w:p>
        </w:tc>
        <w:tc>
          <w:tcPr>
            <w:tcW w:w="780" w:type="dxa"/>
            <w:hideMark/>
          </w:tcPr>
          <w:p w14:paraId="348E1A62" w14:textId="77777777" w:rsidR="00F114FC" w:rsidRDefault="00F114FC" w:rsidP="00CD71A3">
            <w:pPr>
              <w:pStyle w:val="NormalWeb"/>
              <w:jc w:val="center"/>
            </w:pPr>
            <w:r>
              <w:t>0</w:t>
            </w:r>
          </w:p>
        </w:tc>
        <w:tc>
          <w:tcPr>
            <w:tcW w:w="779" w:type="dxa"/>
            <w:hideMark/>
          </w:tcPr>
          <w:p w14:paraId="4A96F73F" w14:textId="77777777" w:rsidR="00F114FC" w:rsidRDefault="00F114FC" w:rsidP="00CD71A3">
            <w:pPr>
              <w:pStyle w:val="NormalWeb"/>
              <w:jc w:val="center"/>
            </w:pPr>
            <w:r>
              <w:t>3</w:t>
            </w:r>
          </w:p>
        </w:tc>
        <w:tc>
          <w:tcPr>
            <w:tcW w:w="779" w:type="dxa"/>
            <w:hideMark/>
          </w:tcPr>
          <w:p w14:paraId="1C97F6F8" w14:textId="77777777" w:rsidR="00F114FC" w:rsidRDefault="00F114FC" w:rsidP="00CD71A3">
            <w:pPr>
              <w:pStyle w:val="NormalWeb"/>
              <w:jc w:val="center"/>
            </w:pPr>
            <w:r>
              <w:t>0</w:t>
            </w:r>
          </w:p>
        </w:tc>
        <w:tc>
          <w:tcPr>
            <w:tcW w:w="780" w:type="dxa"/>
            <w:hideMark/>
          </w:tcPr>
          <w:p w14:paraId="0CEA3BB9" w14:textId="77777777" w:rsidR="00F114FC" w:rsidRDefault="00F114FC" w:rsidP="00CD71A3">
            <w:pPr>
              <w:pStyle w:val="NormalWeb"/>
              <w:jc w:val="center"/>
            </w:pPr>
            <w:r>
              <w:t>0</w:t>
            </w:r>
          </w:p>
        </w:tc>
        <w:tc>
          <w:tcPr>
            <w:tcW w:w="779" w:type="dxa"/>
            <w:hideMark/>
          </w:tcPr>
          <w:p w14:paraId="1101E175" w14:textId="77777777" w:rsidR="00F114FC" w:rsidRDefault="00F114FC" w:rsidP="00CD71A3">
            <w:pPr>
              <w:pStyle w:val="NormalWeb"/>
              <w:jc w:val="center"/>
            </w:pPr>
            <w:r>
              <w:t>793</w:t>
            </w:r>
          </w:p>
        </w:tc>
        <w:tc>
          <w:tcPr>
            <w:tcW w:w="780" w:type="dxa"/>
            <w:hideMark/>
          </w:tcPr>
          <w:p w14:paraId="1032F04B" w14:textId="77777777" w:rsidR="00F114FC" w:rsidRDefault="00F114FC" w:rsidP="00CD71A3">
            <w:pPr>
              <w:pStyle w:val="NormalWeb"/>
              <w:jc w:val="center"/>
            </w:pPr>
            <w:r>
              <w:t>0</w:t>
            </w:r>
          </w:p>
        </w:tc>
        <w:tc>
          <w:tcPr>
            <w:tcW w:w="1509" w:type="dxa"/>
            <w:hideMark/>
          </w:tcPr>
          <w:p w14:paraId="0D3915DC" w14:textId="77777777" w:rsidR="00F114FC" w:rsidRDefault="00F114FC" w:rsidP="00CD71A3">
            <w:pPr>
              <w:pStyle w:val="NormalWeb"/>
              <w:jc w:val="center"/>
            </w:pPr>
            <w:r>
              <w:t>13,066</w:t>
            </w:r>
          </w:p>
        </w:tc>
      </w:tr>
      <w:tr w:rsidR="00F114FC" w14:paraId="5D7CA284" w14:textId="77777777" w:rsidTr="00CD71A3">
        <w:tblPrEx>
          <w:tblCellMar>
            <w:top w:w="57" w:type="dxa"/>
            <w:left w:w="57" w:type="dxa"/>
            <w:bottom w:w="57" w:type="dxa"/>
            <w:right w:w="57" w:type="dxa"/>
          </w:tblCellMar>
        </w:tblPrEx>
        <w:tc>
          <w:tcPr>
            <w:tcW w:w="0" w:type="auto"/>
            <w:hideMark/>
          </w:tcPr>
          <w:p w14:paraId="75FCD8FB" w14:textId="77777777" w:rsidR="00F114FC" w:rsidRPr="00CD71A3" w:rsidRDefault="00F114FC" w:rsidP="00CD71A3">
            <w:pPr>
              <w:pStyle w:val="NormalWeb"/>
              <w:numPr>
                <w:ilvl w:val="0"/>
                <w:numId w:val="9"/>
              </w:numPr>
              <w:spacing w:after="0" w:afterAutospacing="0"/>
              <w:rPr>
                <w:i/>
                <w:iCs/>
              </w:rPr>
            </w:pPr>
            <w:r w:rsidRPr="00CD71A3">
              <w:rPr>
                <w:i/>
                <w:iCs/>
              </w:rPr>
              <w:t>source known</w:t>
            </w:r>
          </w:p>
        </w:tc>
        <w:tc>
          <w:tcPr>
            <w:tcW w:w="779" w:type="dxa"/>
            <w:hideMark/>
          </w:tcPr>
          <w:p w14:paraId="001CF9D1" w14:textId="77777777" w:rsidR="00F114FC" w:rsidRPr="00CD71A3" w:rsidRDefault="00F114FC" w:rsidP="00CD71A3">
            <w:pPr>
              <w:pStyle w:val="NormalWeb"/>
              <w:spacing w:after="0" w:afterAutospacing="0"/>
              <w:jc w:val="center"/>
              <w:rPr>
                <w:i/>
                <w:iCs/>
              </w:rPr>
            </w:pPr>
            <w:r w:rsidRPr="00CD71A3">
              <w:rPr>
                <w:i/>
                <w:iCs/>
              </w:rPr>
              <w:t>219</w:t>
            </w:r>
          </w:p>
        </w:tc>
        <w:tc>
          <w:tcPr>
            <w:tcW w:w="779" w:type="dxa"/>
            <w:hideMark/>
          </w:tcPr>
          <w:p w14:paraId="72A8784D" w14:textId="77777777" w:rsidR="00F114FC" w:rsidRPr="00CD71A3" w:rsidRDefault="00F114FC" w:rsidP="00CD71A3">
            <w:pPr>
              <w:pStyle w:val="NormalWeb"/>
              <w:spacing w:after="0" w:afterAutospacing="0"/>
              <w:jc w:val="center"/>
              <w:rPr>
                <w:i/>
                <w:iCs/>
              </w:rPr>
            </w:pPr>
            <w:r w:rsidRPr="00CD71A3">
              <w:rPr>
                <w:i/>
                <w:iCs/>
              </w:rPr>
              <w:t>3,994</w:t>
            </w:r>
          </w:p>
        </w:tc>
        <w:tc>
          <w:tcPr>
            <w:tcW w:w="780" w:type="dxa"/>
            <w:hideMark/>
          </w:tcPr>
          <w:p w14:paraId="441C16B6"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04A02C32" w14:textId="77777777" w:rsidR="00F114FC" w:rsidRPr="00CD71A3" w:rsidRDefault="00F114FC" w:rsidP="00CD71A3">
            <w:pPr>
              <w:pStyle w:val="NormalWeb"/>
              <w:spacing w:after="0" w:afterAutospacing="0"/>
              <w:jc w:val="center"/>
              <w:rPr>
                <w:i/>
                <w:iCs/>
              </w:rPr>
            </w:pPr>
            <w:r w:rsidRPr="00CD71A3">
              <w:rPr>
                <w:i/>
                <w:iCs/>
              </w:rPr>
              <w:t>3</w:t>
            </w:r>
          </w:p>
        </w:tc>
        <w:tc>
          <w:tcPr>
            <w:tcW w:w="779" w:type="dxa"/>
            <w:hideMark/>
          </w:tcPr>
          <w:p w14:paraId="0FCC391B"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28B78A77"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2447BFEA" w14:textId="77777777" w:rsidR="00F114FC" w:rsidRPr="00CD71A3" w:rsidRDefault="00F114FC" w:rsidP="00CD71A3">
            <w:pPr>
              <w:pStyle w:val="NormalWeb"/>
              <w:spacing w:after="0" w:afterAutospacing="0"/>
              <w:jc w:val="center"/>
              <w:rPr>
                <w:i/>
                <w:iCs/>
              </w:rPr>
            </w:pPr>
            <w:r w:rsidRPr="00CD71A3">
              <w:rPr>
                <w:i/>
                <w:iCs/>
              </w:rPr>
              <w:t>751</w:t>
            </w:r>
          </w:p>
        </w:tc>
        <w:tc>
          <w:tcPr>
            <w:tcW w:w="780" w:type="dxa"/>
            <w:hideMark/>
          </w:tcPr>
          <w:p w14:paraId="6F9A2ED3" w14:textId="77777777" w:rsidR="00F114FC" w:rsidRPr="00CD71A3" w:rsidRDefault="00F114FC" w:rsidP="00CD71A3">
            <w:pPr>
              <w:pStyle w:val="NormalWeb"/>
              <w:spacing w:after="0" w:afterAutospacing="0"/>
              <w:jc w:val="center"/>
              <w:rPr>
                <w:i/>
                <w:iCs/>
              </w:rPr>
            </w:pPr>
            <w:r w:rsidRPr="00CD71A3">
              <w:rPr>
                <w:i/>
                <w:iCs/>
              </w:rPr>
              <w:t>0</w:t>
            </w:r>
          </w:p>
        </w:tc>
        <w:tc>
          <w:tcPr>
            <w:tcW w:w="1509" w:type="dxa"/>
            <w:hideMark/>
          </w:tcPr>
          <w:p w14:paraId="0903450C" w14:textId="77777777" w:rsidR="00F114FC" w:rsidRPr="00CD71A3" w:rsidRDefault="00F114FC" w:rsidP="00CD71A3">
            <w:pPr>
              <w:pStyle w:val="NormalWeb"/>
              <w:spacing w:after="0" w:afterAutospacing="0"/>
              <w:jc w:val="center"/>
              <w:rPr>
                <w:i/>
                <w:iCs/>
              </w:rPr>
            </w:pPr>
            <w:r w:rsidRPr="00CD71A3">
              <w:rPr>
                <w:i/>
                <w:iCs/>
              </w:rPr>
              <w:t>4,967</w:t>
            </w:r>
          </w:p>
        </w:tc>
      </w:tr>
      <w:tr w:rsidR="00F114FC" w14:paraId="0850FB5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17394E5" w14:textId="77777777" w:rsidR="00F114FC" w:rsidRPr="00CD71A3" w:rsidRDefault="00F114FC" w:rsidP="00CD71A3">
            <w:pPr>
              <w:pStyle w:val="NormalWeb"/>
              <w:numPr>
                <w:ilvl w:val="0"/>
                <w:numId w:val="9"/>
              </w:numPr>
              <w:spacing w:after="0" w:afterAutospacing="0"/>
              <w:rPr>
                <w:i/>
                <w:iCs/>
              </w:rPr>
            </w:pPr>
            <w:r w:rsidRPr="00CD71A3">
              <w:rPr>
                <w:i/>
                <w:iCs/>
              </w:rPr>
              <w:t>source unknown</w:t>
            </w:r>
          </w:p>
        </w:tc>
        <w:tc>
          <w:tcPr>
            <w:tcW w:w="779" w:type="dxa"/>
            <w:hideMark/>
          </w:tcPr>
          <w:p w14:paraId="1A23E119" w14:textId="77777777" w:rsidR="00F114FC" w:rsidRPr="00CD71A3" w:rsidRDefault="00F114FC" w:rsidP="00CD71A3">
            <w:pPr>
              <w:pStyle w:val="NormalWeb"/>
              <w:spacing w:after="0" w:afterAutospacing="0"/>
              <w:jc w:val="center"/>
              <w:rPr>
                <w:i/>
                <w:iCs/>
              </w:rPr>
            </w:pPr>
            <w:r w:rsidRPr="00CD71A3">
              <w:rPr>
                <w:i/>
                <w:iCs/>
              </w:rPr>
              <w:t>18</w:t>
            </w:r>
          </w:p>
        </w:tc>
        <w:tc>
          <w:tcPr>
            <w:tcW w:w="779" w:type="dxa"/>
            <w:hideMark/>
          </w:tcPr>
          <w:p w14:paraId="6D7F2FA1" w14:textId="77777777" w:rsidR="00F114FC" w:rsidRPr="00CD71A3" w:rsidRDefault="00F114FC" w:rsidP="00CD71A3">
            <w:pPr>
              <w:pStyle w:val="NormalWeb"/>
              <w:spacing w:after="0" w:afterAutospacing="0"/>
              <w:jc w:val="center"/>
              <w:rPr>
                <w:i/>
                <w:iCs/>
              </w:rPr>
            </w:pPr>
            <w:r w:rsidRPr="00CD71A3">
              <w:rPr>
                <w:i/>
                <w:iCs/>
              </w:rPr>
              <w:t>64</w:t>
            </w:r>
          </w:p>
        </w:tc>
        <w:tc>
          <w:tcPr>
            <w:tcW w:w="780" w:type="dxa"/>
            <w:hideMark/>
          </w:tcPr>
          <w:p w14:paraId="4353327E"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69C4E11D"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40FD1178"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4793ECB4"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10EC9381" w14:textId="77777777" w:rsidR="00F114FC" w:rsidRPr="00CD71A3" w:rsidRDefault="00F114FC" w:rsidP="00CD71A3">
            <w:pPr>
              <w:pStyle w:val="NormalWeb"/>
              <w:spacing w:after="0" w:afterAutospacing="0"/>
              <w:jc w:val="center"/>
              <w:rPr>
                <w:i/>
                <w:iCs/>
              </w:rPr>
            </w:pPr>
            <w:r w:rsidRPr="00CD71A3">
              <w:rPr>
                <w:i/>
                <w:iCs/>
              </w:rPr>
              <w:t>42</w:t>
            </w:r>
          </w:p>
        </w:tc>
        <w:tc>
          <w:tcPr>
            <w:tcW w:w="780" w:type="dxa"/>
            <w:hideMark/>
          </w:tcPr>
          <w:p w14:paraId="5EE374BB" w14:textId="77777777" w:rsidR="00F114FC" w:rsidRPr="00CD71A3" w:rsidRDefault="00F114FC" w:rsidP="00CD71A3">
            <w:pPr>
              <w:pStyle w:val="NormalWeb"/>
              <w:spacing w:after="0" w:afterAutospacing="0"/>
              <w:jc w:val="center"/>
              <w:rPr>
                <w:i/>
                <w:iCs/>
              </w:rPr>
            </w:pPr>
            <w:r w:rsidRPr="00CD71A3">
              <w:rPr>
                <w:i/>
                <w:iCs/>
              </w:rPr>
              <w:t>0</w:t>
            </w:r>
          </w:p>
        </w:tc>
        <w:tc>
          <w:tcPr>
            <w:tcW w:w="1509" w:type="dxa"/>
            <w:hideMark/>
          </w:tcPr>
          <w:p w14:paraId="570224F7" w14:textId="77777777" w:rsidR="00F114FC" w:rsidRPr="00CD71A3" w:rsidRDefault="00F114FC" w:rsidP="00CD71A3">
            <w:pPr>
              <w:pStyle w:val="NormalWeb"/>
              <w:spacing w:after="0" w:afterAutospacing="0"/>
              <w:jc w:val="center"/>
              <w:rPr>
                <w:i/>
                <w:iCs/>
              </w:rPr>
            </w:pPr>
            <w:r w:rsidRPr="00CD71A3">
              <w:rPr>
                <w:i/>
                <w:iCs/>
              </w:rPr>
              <w:t>124</w:t>
            </w:r>
          </w:p>
        </w:tc>
      </w:tr>
      <w:tr w:rsidR="00F114FC" w14:paraId="720A3EB2" w14:textId="77777777" w:rsidTr="00CD71A3">
        <w:tblPrEx>
          <w:tblCellMar>
            <w:top w:w="57" w:type="dxa"/>
            <w:left w:w="57" w:type="dxa"/>
            <w:bottom w:w="57" w:type="dxa"/>
            <w:right w:w="57" w:type="dxa"/>
          </w:tblCellMar>
        </w:tblPrEx>
        <w:tc>
          <w:tcPr>
            <w:tcW w:w="0" w:type="auto"/>
            <w:hideMark/>
          </w:tcPr>
          <w:p w14:paraId="25C5EEE7" w14:textId="77777777" w:rsidR="00F114FC" w:rsidRPr="00CD71A3" w:rsidRDefault="00F114FC" w:rsidP="00CD71A3">
            <w:pPr>
              <w:pStyle w:val="NormalWeb"/>
              <w:numPr>
                <w:ilvl w:val="0"/>
                <w:numId w:val="9"/>
              </w:numPr>
              <w:spacing w:after="0" w:afterAutospacing="0"/>
              <w:rPr>
                <w:i/>
                <w:iCs/>
              </w:rPr>
            </w:pPr>
            <w:r w:rsidRPr="00CD71A3">
              <w:rPr>
                <w:i/>
                <w:iCs/>
              </w:rPr>
              <w:t>interstate, source known</w:t>
            </w:r>
          </w:p>
        </w:tc>
        <w:tc>
          <w:tcPr>
            <w:tcW w:w="779" w:type="dxa"/>
            <w:hideMark/>
          </w:tcPr>
          <w:p w14:paraId="356AC84B"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5C92BDCF" w14:textId="77777777" w:rsidR="00F114FC" w:rsidRPr="00CD71A3" w:rsidRDefault="00F114FC" w:rsidP="00CD71A3">
            <w:pPr>
              <w:pStyle w:val="NormalWeb"/>
              <w:spacing w:after="0" w:afterAutospacing="0"/>
              <w:jc w:val="center"/>
              <w:rPr>
                <w:i/>
                <w:iCs/>
              </w:rPr>
            </w:pPr>
            <w:r w:rsidRPr="00CD71A3">
              <w:rPr>
                <w:i/>
                <w:iCs/>
              </w:rPr>
              <w:t>4</w:t>
            </w:r>
          </w:p>
        </w:tc>
        <w:tc>
          <w:tcPr>
            <w:tcW w:w="780" w:type="dxa"/>
            <w:hideMark/>
          </w:tcPr>
          <w:p w14:paraId="0488A2DE"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08DCCB02"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1964D396"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4C15DC63"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7DB492F5"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1376CEC5" w14:textId="77777777" w:rsidR="00F114FC" w:rsidRPr="00CD71A3" w:rsidRDefault="00F114FC" w:rsidP="00CD71A3">
            <w:pPr>
              <w:pStyle w:val="NormalWeb"/>
              <w:spacing w:after="0" w:afterAutospacing="0"/>
              <w:jc w:val="center"/>
              <w:rPr>
                <w:i/>
                <w:iCs/>
              </w:rPr>
            </w:pPr>
            <w:r w:rsidRPr="00CD71A3">
              <w:rPr>
                <w:i/>
                <w:iCs/>
              </w:rPr>
              <w:t>0</w:t>
            </w:r>
          </w:p>
        </w:tc>
        <w:tc>
          <w:tcPr>
            <w:tcW w:w="1509" w:type="dxa"/>
            <w:hideMark/>
          </w:tcPr>
          <w:p w14:paraId="4FE72884" w14:textId="77777777" w:rsidR="00F114FC" w:rsidRPr="00CD71A3" w:rsidRDefault="00F114FC" w:rsidP="00CD71A3">
            <w:pPr>
              <w:pStyle w:val="NormalWeb"/>
              <w:spacing w:after="0" w:afterAutospacing="0"/>
              <w:jc w:val="center"/>
              <w:rPr>
                <w:i/>
                <w:iCs/>
              </w:rPr>
            </w:pPr>
            <w:r w:rsidRPr="00CD71A3">
              <w:rPr>
                <w:i/>
                <w:iCs/>
              </w:rPr>
              <w:t>4</w:t>
            </w:r>
          </w:p>
        </w:tc>
      </w:tr>
      <w:tr w:rsidR="00F114FC" w14:paraId="63EB6AAF"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E141E57" w14:textId="77777777" w:rsidR="00F114FC" w:rsidRPr="00CD71A3" w:rsidRDefault="00F114FC" w:rsidP="00CD71A3">
            <w:pPr>
              <w:pStyle w:val="NormalWeb"/>
              <w:numPr>
                <w:ilvl w:val="0"/>
                <w:numId w:val="9"/>
              </w:numPr>
              <w:spacing w:after="0" w:afterAutospacing="0"/>
              <w:rPr>
                <w:i/>
                <w:iCs/>
              </w:rPr>
            </w:pPr>
            <w:r w:rsidRPr="00CD71A3">
              <w:rPr>
                <w:i/>
                <w:iCs/>
              </w:rPr>
              <w:t>interstate, source unknown</w:t>
            </w:r>
          </w:p>
        </w:tc>
        <w:tc>
          <w:tcPr>
            <w:tcW w:w="779" w:type="dxa"/>
            <w:hideMark/>
          </w:tcPr>
          <w:p w14:paraId="34DCA3D5" w14:textId="77777777" w:rsidR="00F114FC" w:rsidRPr="00CD71A3" w:rsidRDefault="00F114FC" w:rsidP="00CD71A3">
            <w:pPr>
              <w:pStyle w:val="NormalWeb"/>
              <w:spacing w:after="0" w:afterAutospacing="0"/>
              <w:jc w:val="center"/>
              <w:rPr>
                <w:i/>
                <w:iCs/>
              </w:rPr>
            </w:pPr>
            <w:r w:rsidRPr="00CD71A3">
              <w:rPr>
                <w:i/>
                <w:iCs/>
              </w:rPr>
              <w:t>1</w:t>
            </w:r>
          </w:p>
        </w:tc>
        <w:tc>
          <w:tcPr>
            <w:tcW w:w="779" w:type="dxa"/>
            <w:hideMark/>
          </w:tcPr>
          <w:p w14:paraId="0F85ED03"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1FE23C45"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452EF50A"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357B4F89"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56A6F882"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5E9886D7"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1C79CA5D" w14:textId="77777777" w:rsidR="00F114FC" w:rsidRPr="00CD71A3" w:rsidRDefault="00F114FC" w:rsidP="00CD71A3">
            <w:pPr>
              <w:pStyle w:val="NormalWeb"/>
              <w:spacing w:after="0" w:afterAutospacing="0"/>
              <w:jc w:val="center"/>
              <w:rPr>
                <w:i/>
                <w:iCs/>
              </w:rPr>
            </w:pPr>
            <w:r w:rsidRPr="00CD71A3">
              <w:rPr>
                <w:i/>
                <w:iCs/>
              </w:rPr>
              <w:t>0</w:t>
            </w:r>
          </w:p>
        </w:tc>
        <w:tc>
          <w:tcPr>
            <w:tcW w:w="1509" w:type="dxa"/>
            <w:hideMark/>
          </w:tcPr>
          <w:p w14:paraId="0755069D" w14:textId="77777777" w:rsidR="00F114FC" w:rsidRPr="00CD71A3" w:rsidRDefault="00F114FC" w:rsidP="00CD71A3">
            <w:pPr>
              <w:pStyle w:val="NormalWeb"/>
              <w:spacing w:after="0" w:afterAutospacing="0"/>
              <w:jc w:val="center"/>
              <w:rPr>
                <w:i/>
                <w:iCs/>
              </w:rPr>
            </w:pPr>
            <w:r w:rsidRPr="00CD71A3">
              <w:rPr>
                <w:i/>
                <w:iCs/>
              </w:rPr>
              <w:t>1</w:t>
            </w:r>
          </w:p>
        </w:tc>
      </w:tr>
      <w:tr w:rsidR="00F114FC" w14:paraId="14E9ED7D" w14:textId="77777777" w:rsidTr="00CD71A3">
        <w:tblPrEx>
          <w:tblCellMar>
            <w:top w:w="57" w:type="dxa"/>
            <w:left w:w="57" w:type="dxa"/>
            <w:bottom w:w="57" w:type="dxa"/>
            <w:right w:w="57" w:type="dxa"/>
          </w:tblCellMar>
        </w:tblPrEx>
        <w:tc>
          <w:tcPr>
            <w:tcW w:w="0" w:type="auto"/>
            <w:hideMark/>
          </w:tcPr>
          <w:p w14:paraId="59689783" w14:textId="77777777" w:rsidR="00F114FC" w:rsidRPr="00CD71A3" w:rsidRDefault="00F114FC" w:rsidP="00CD71A3">
            <w:pPr>
              <w:pStyle w:val="NormalWeb"/>
              <w:numPr>
                <w:ilvl w:val="0"/>
                <w:numId w:val="9"/>
              </w:numPr>
              <w:spacing w:after="0" w:afterAutospacing="0"/>
              <w:rPr>
                <w:i/>
                <w:iCs/>
              </w:rPr>
            </w:pPr>
            <w:r w:rsidRPr="00CD71A3">
              <w:rPr>
                <w:i/>
                <w:iCs/>
              </w:rPr>
              <w:t>investigation ongoing</w:t>
            </w:r>
          </w:p>
        </w:tc>
        <w:tc>
          <w:tcPr>
            <w:tcW w:w="779" w:type="dxa"/>
            <w:hideMark/>
          </w:tcPr>
          <w:p w14:paraId="1C895190"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5B0AB40A" w14:textId="77777777" w:rsidR="00F114FC" w:rsidRPr="00CD71A3" w:rsidRDefault="00F114FC" w:rsidP="00CD71A3">
            <w:pPr>
              <w:pStyle w:val="NormalWeb"/>
              <w:spacing w:after="0" w:afterAutospacing="0"/>
              <w:jc w:val="center"/>
              <w:rPr>
                <w:i/>
                <w:iCs/>
              </w:rPr>
            </w:pPr>
            <w:r w:rsidRPr="00CD71A3">
              <w:rPr>
                <w:i/>
                <w:iCs/>
              </w:rPr>
              <w:t>7,970</w:t>
            </w:r>
          </w:p>
        </w:tc>
        <w:tc>
          <w:tcPr>
            <w:tcW w:w="780" w:type="dxa"/>
            <w:hideMark/>
          </w:tcPr>
          <w:p w14:paraId="44A9BC59"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3EAB7E92"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54237184"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6EC6C3EB" w14:textId="77777777" w:rsidR="00F114FC" w:rsidRPr="00CD71A3" w:rsidRDefault="00F114FC" w:rsidP="00CD71A3">
            <w:pPr>
              <w:pStyle w:val="NormalWeb"/>
              <w:spacing w:after="0" w:afterAutospacing="0"/>
              <w:jc w:val="center"/>
              <w:rPr>
                <w:i/>
                <w:iCs/>
              </w:rPr>
            </w:pPr>
            <w:r w:rsidRPr="00CD71A3">
              <w:rPr>
                <w:i/>
                <w:iCs/>
              </w:rPr>
              <w:t>0</w:t>
            </w:r>
          </w:p>
        </w:tc>
        <w:tc>
          <w:tcPr>
            <w:tcW w:w="779" w:type="dxa"/>
            <w:hideMark/>
          </w:tcPr>
          <w:p w14:paraId="5A570EF2" w14:textId="77777777" w:rsidR="00F114FC" w:rsidRPr="00CD71A3" w:rsidRDefault="00F114FC" w:rsidP="00CD71A3">
            <w:pPr>
              <w:pStyle w:val="NormalWeb"/>
              <w:spacing w:after="0" w:afterAutospacing="0"/>
              <w:jc w:val="center"/>
              <w:rPr>
                <w:i/>
                <w:iCs/>
              </w:rPr>
            </w:pPr>
            <w:r w:rsidRPr="00CD71A3">
              <w:rPr>
                <w:i/>
                <w:iCs/>
              </w:rPr>
              <w:t>0</w:t>
            </w:r>
          </w:p>
        </w:tc>
        <w:tc>
          <w:tcPr>
            <w:tcW w:w="780" w:type="dxa"/>
            <w:hideMark/>
          </w:tcPr>
          <w:p w14:paraId="58E54E6D" w14:textId="77777777" w:rsidR="00F114FC" w:rsidRPr="00CD71A3" w:rsidRDefault="00F114FC" w:rsidP="00CD71A3">
            <w:pPr>
              <w:pStyle w:val="NormalWeb"/>
              <w:spacing w:after="0" w:afterAutospacing="0"/>
              <w:jc w:val="center"/>
              <w:rPr>
                <w:i/>
                <w:iCs/>
              </w:rPr>
            </w:pPr>
            <w:r w:rsidRPr="00CD71A3">
              <w:rPr>
                <w:i/>
                <w:iCs/>
              </w:rPr>
              <w:t>0</w:t>
            </w:r>
          </w:p>
        </w:tc>
        <w:tc>
          <w:tcPr>
            <w:tcW w:w="1509" w:type="dxa"/>
            <w:hideMark/>
          </w:tcPr>
          <w:p w14:paraId="6FFE96BE" w14:textId="77777777" w:rsidR="00F114FC" w:rsidRPr="00CD71A3" w:rsidRDefault="00F114FC" w:rsidP="00CD71A3">
            <w:pPr>
              <w:pStyle w:val="NormalWeb"/>
              <w:spacing w:after="0" w:afterAutospacing="0"/>
              <w:jc w:val="center"/>
              <w:rPr>
                <w:i/>
                <w:iCs/>
              </w:rPr>
            </w:pPr>
            <w:r w:rsidRPr="00CD71A3">
              <w:rPr>
                <w:i/>
                <w:iCs/>
              </w:rPr>
              <w:t>7,970</w:t>
            </w:r>
          </w:p>
        </w:tc>
      </w:tr>
      <w:tr w:rsidR="00F114FC" w14:paraId="0C9B0D68"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6D488EA1" w14:textId="77777777" w:rsidR="00F114FC" w:rsidRDefault="00F114FC" w:rsidP="00CD71A3">
            <w:pPr>
              <w:pStyle w:val="NormalWeb"/>
            </w:pPr>
            <w:r>
              <w:t>Under initial investigation</w:t>
            </w:r>
          </w:p>
        </w:tc>
        <w:tc>
          <w:tcPr>
            <w:tcW w:w="779" w:type="dxa"/>
            <w:hideMark/>
          </w:tcPr>
          <w:p w14:paraId="13949580" w14:textId="77777777" w:rsidR="00F114FC" w:rsidRDefault="00F114FC" w:rsidP="00CD71A3">
            <w:pPr>
              <w:pStyle w:val="NormalWeb"/>
              <w:jc w:val="center"/>
            </w:pPr>
            <w:r>
              <w:t>0</w:t>
            </w:r>
          </w:p>
        </w:tc>
        <w:tc>
          <w:tcPr>
            <w:tcW w:w="779" w:type="dxa"/>
            <w:hideMark/>
          </w:tcPr>
          <w:p w14:paraId="46380F44" w14:textId="77777777" w:rsidR="00F114FC" w:rsidRDefault="00F114FC" w:rsidP="00CD71A3">
            <w:pPr>
              <w:pStyle w:val="NormalWeb"/>
              <w:jc w:val="center"/>
            </w:pPr>
            <w:r>
              <w:t>35</w:t>
            </w:r>
          </w:p>
        </w:tc>
        <w:tc>
          <w:tcPr>
            <w:tcW w:w="780" w:type="dxa"/>
            <w:hideMark/>
          </w:tcPr>
          <w:p w14:paraId="6FAE6D48" w14:textId="77777777" w:rsidR="00F114FC" w:rsidRDefault="00F114FC" w:rsidP="00CD71A3">
            <w:pPr>
              <w:pStyle w:val="NormalWeb"/>
              <w:jc w:val="center"/>
            </w:pPr>
            <w:r>
              <w:t>0</w:t>
            </w:r>
          </w:p>
        </w:tc>
        <w:tc>
          <w:tcPr>
            <w:tcW w:w="779" w:type="dxa"/>
            <w:hideMark/>
          </w:tcPr>
          <w:p w14:paraId="11A34B3C" w14:textId="77777777" w:rsidR="00F114FC" w:rsidRDefault="00F114FC" w:rsidP="00CD71A3">
            <w:pPr>
              <w:pStyle w:val="NormalWeb"/>
              <w:jc w:val="center"/>
            </w:pPr>
            <w:r>
              <w:t>2</w:t>
            </w:r>
          </w:p>
        </w:tc>
        <w:tc>
          <w:tcPr>
            <w:tcW w:w="779" w:type="dxa"/>
            <w:hideMark/>
          </w:tcPr>
          <w:p w14:paraId="4089FBD0" w14:textId="77777777" w:rsidR="00F114FC" w:rsidRDefault="00F114FC" w:rsidP="00CD71A3">
            <w:pPr>
              <w:pStyle w:val="NormalWeb"/>
              <w:jc w:val="center"/>
            </w:pPr>
            <w:r>
              <w:t>0</w:t>
            </w:r>
          </w:p>
        </w:tc>
        <w:tc>
          <w:tcPr>
            <w:tcW w:w="780" w:type="dxa"/>
            <w:hideMark/>
          </w:tcPr>
          <w:p w14:paraId="088E2B30" w14:textId="77777777" w:rsidR="00F114FC" w:rsidRDefault="00F114FC" w:rsidP="00CD71A3">
            <w:pPr>
              <w:pStyle w:val="NormalWeb"/>
              <w:jc w:val="center"/>
            </w:pPr>
            <w:r>
              <w:t>0</w:t>
            </w:r>
          </w:p>
        </w:tc>
        <w:tc>
          <w:tcPr>
            <w:tcW w:w="779" w:type="dxa"/>
            <w:hideMark/>
          </w:tcPr>
          <w:p w14:paraId="511B94FF" w14:textId="77777777" w:rsidR="00F114FC" w:rsidRDefault="00F114FC" w:rsidP="00CD71A3">
            <w:pPr>
              <w:pStyle w:val="NormalWeb"/>
              <w:jc w:val="center"/>
            </w:pPr>
            <w:r>
              <w:t>63</w:t>
            </w:r>
          </w:p>
        </w:tc>
        <w:tc>
          <w:tcPr>
            <w:tcW w:w="780" w:type="dxa"/>
            <w:hideMark/>
          </w:tcPr>
          <w:p w14:paraId="2A2FDC32" w14:textId="77777777" w:rsidR="00F114FC" w:rsidRDefault="00F114FC" w:rsidP="00CD71A3">
            <w:pPr>
              <w:pStyle w:val="NormalWeb"/>
              <w:jc w:val="center"/>
            </w:pPr>
            <w:r>
              <w:t>0</w:t>
            </w:r>
          </w:p>
        </w:tc>
        <w:tc>
          <w:tcPr>
            <w:tcW w:w="1509" w:type="dxa"/>
            <w:hideMark/>
          </w:tcPr>
          <w:p w14:paraId="091F30AD" w14:textId="77777777" w:rsidR="00F114FC" w:rsidRDefault="00F114FC" w:rsidP="00CD71A3">
            <w:pPr>
              <w:pStyle w:val="NormalWeb"/>
              <w:jc w:val="center"/>
            </w:pPr>
            <w:r>
              <w:t>100</w:t>
            </w:r>
          </w:p>
        </w:tc>
      </w:tr>
      <w:tr w:rsidR="00F114FC" w14:paraId="690A04F9" w14:textId="77777777" w:rsidTr="00CD71A3">
        <w:tblPrEx>
          <w:tblCellMar>
            <w:top w:w="57" w:type="dxa"/>
            <w:left w:w="57" w:type="dxa"/>
            <w:bottom w:w="57" w:type="dxa"/>
            <w:right w:w="57" w:type="dxa"/>
          </w:tblCellMar>
        </w:tblPrEx>
        <w:tc>
          <w:tcPr>
            <w:tcW w:w="0" w:type="auto"/>
            <w:hideMark/>
          </w:tcPr>
          <w:p w14:paraId="335DF6DE" w14:textId="77777777" w:rsidR="00F114FC" w:rsidRDefault="00F114FC" w:rsidP="00CD71A3">
            <w:pPr>
              <w:pStyle w:val="NormalWeb"/>
            </w:pPr>
            <w:r>
              <w:t>Missing source of acquisition</w:t>
            </w:r>
          </w:p>
        </w:tc>
        <w:tc>
          <w:tcPr>
            <w:tcW w:w="779" w:type="dxa"/>
            <w:hideMark/>
          </w:tcPr>
          <w:p w14:paraId="36D4834F" w14:textId="77777777" w:rsidR="00F114FC" w:rsidRDefault="00F114FC" w:rsidP="00CD71A3">
            <w:pPr>
              <w:pStyle w:val="NormalWeb"/>
              <w:jc w:val="center"/>
            </w:pPr>
            <w:r>
              <w:t>0</w:t>
            </w:r>
          </w:p>
        </w:tc>
        <w:tc>
          <w:tcPr>
            <w:tcW w:w="779" w:type="dxa"/>
            <w:hideMark/>
          </w:tcPr>
          <w:p w14:paraId="11BE2D51" w14:textId="77777777" w:rsidR="00F114FC" w:rsidRDefault="00F114FC" w:rsidP="00CD71A3">
            <w:pPr>
              <w:pStyle w:val="NormalWeb"/>
              <w:jc w:val="center"/>
            </w:pPr>
            <w:r>
              <w:t>1</w:t>
            </w:r>
          </w:p>
        </w:tc>
        <w:tc>
          <w:tcPr>
            <w:tcW w:w="780" w:type="dxa"/>
            <w:hideMark/>
          </w:tcPr>
          <w:p w14:paraId="47DD3812" w14:textId="77777777" w:rsidR="00F114FC" w:rsidRDefault="00F114FC" w:rsidP="00CD71A3">
            <w:pPr>
              <w:pStyle w:val="NormalWeb"/>
              <w:jc w:val="center"/>
            </w:pPr>
            <w:r>
              <w:t>0</w:t>
            </w:r>
          </w:p>
        </w:tc>
        <w:tc>
          <w:tcPr>
            <w:tcW w:w="779" w:type="dxa"/>
            <w:hideMark/>
          </w:tcPr>
          <w:p w14:paraId="0CBCD47F" w14:textId="77777777" w:rsidR="00F114FC" w:rsidRDefault="00F114FC" w:rsidP="00CD71A3">
            <w:pPr>
              <w:pStyle w:val="NormalWeb"/>
              <w:jc w:val="center"/>
            </w:pPr>
            <w:r>
              <w:t>0</w:t>
            </w:r>
          </w:p>
        </w:tc>
        <w:tc>
          <w:tcPr>
            <w:tcW w:w="779" w:type="dxa"/>
            <w:hideMark/>
          </w:tcPr>
          <w:p w14:paraId="4330CA54" w14:textId="77777777" w:rsidR="00F114FC" w:rsidRDefault="00F114FC" w:rsidP="00CD71A3">
            <w:pPr>
              <w:pStyle w:val="NormalWeb"/>
              <w:jc w:val="center"/>
            </w:pPr>
            <w:r>
              <w:t>0</w:t>
            </w:r>
          </w:p>
        </w:tc>
        <w:tc>
          <w:tcPr>
            <w:tcW w:w="780" w:type="dxa"/>
            <w:hideMark/>
          </w:tcPr>
          <w:p w14:paraId="41CEC937" w14:textId="77777777" w:rsidR="00F114FC" w:rsidRDefault="00F114FC" w:rsidP="00CD71A3">
            <w:pPr>
              <w:pStyle w:val="NormalWeb"/>
              <w:jc w:val="center"/>
            </w:pPr>
            <w:r>
              <w:t>0</w:t>
            </w:r>
          </w:p>
        </w:tc>
        <w:tc>
          <w:tcPr>
            <w:tcW w:w="779" w:type="dxa"/>
            <w:hideMark/>
          </w:tcPr>
          <w:p w14:paraId="350A0E82" w14:textId="77777777" w:rsidR="00F114FC" w:rsidRDefault="00F114FC" w:rsidP="00CD71A3">
            <w:pPr>
              <w:pStyle w:val="NormalWeb"/>
              <w:jc w:val="center"/>
            </w:pPr>
            <w:r>
              <w:t>0</w:t>
            </w:r>
          </w:p>
        </w:tc>
        <w:tc>
          <w:tcPr>
            <w:tcW w:w="780" w:type="dxa"/>
            <w:hideMark/>
          </w:tcPr>
          <w:p w14:paraId="5DDB6EA9" w14:textId="77777777" w:rsidR="00F114FC" w:rsidRDefault="00F114FC" w:rsidP="00CD71A3">
            <w:pPr>
              <w:pStyle w:val="NormalWeb"/>
              <w:jc w:val="center"/>
            </w:pPr>
            <w:r>
              <w:t>0</w:t>
            </w:r>
          </w:p>
        </w:tc>
        <w:tc>
          <w:tcPr>
            <w:tcW w:w="1509" w:type="dxa"/>
            <w:hideMark/>
          </w:tcPr>
          <w:p w14:paraId="463136A4" w14:textId="77777777" w:rsidR="00F114FC" w:rsidRDefault="00F114FC" w:rsidP="00CD71A3">
            <w:pPr>
              <w:pStyle w:val="NormalWeb"/>
              <w:jc w:val="center"/>
            </w:pPr>
            <w:r>
              <w:t>1</w:t>
            </w:r>
          </w:p>
        </w:tc>
      </w:tr>
      <w:tr w:rsidR="00F114FC" w:rsidRPr="00B66200" w14:paraId="32A089F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406DA4AA" w14:textId="77777777" w:rsidR="00F114FC" w:rsidRPr="00B66200" w:rsidRDefault="00F114FC" w:rsidP="00CD71A3">
            <w:pPr>
              <w:pStyle w:val="NormalWeb"/>
              <w:rPr>
                <w:b/>
                <w:bCs/>
              </w:rPr>
            </w:pPr>
            <w:r w:rsidRPr="00B66200">
              <w:rPr>
                <w:b/>
                <w:bCs/>
              </w:rPr>
              <w:t>Total</w:t>
            </w:r>
          </w:p>
        </w:tc>
        <w:tc>
          <w:tcPr>
            <w:tcW w:w="779" w:type="dxa"/>
            <w:shd w:val="clear" w:color="auto" w:fill="FDE9D9" w:themeFill="accent6" w:themeFillTint="33"/>
            <w:hideMark/>
          </w:tcPr>
          <w:p w14:paraId="4952F04A" w14:textId="77777777" w:rsidR="00F114FC" w:rsidRPr="00B66200" w:rsidRDefault="00F114FC" w:rsidP="00CD71A3">
            <w:pPr>
              <w:pStyle w:val="NormalWeb"/>
              <w:jc w:val="center"/>
              <w:rPr>
                <w:b/>
                <w:bCs/>
              </w:rPr>
            </w:pPr>
            <w:r w:rsidRPr="00B66200">
              <w:rPr>
                <w:b/>
                <w:bCs/>
              </w:rPr>
              <w:t>238</w:t>
            </w:r>
          </w:p>
        </w:tc>
        <w:tc>
          <w:tcPr>
            <w:tcW w:w="779" w:type="dxa"/>
            <w:shd w:val="clear" w:color="auto" w:fill="FDE9D9" w:themeFill="accent6" w:themeFillTint="33"/>
            <w:hideMark/>
          </w:tcPr>
          <w:p w14:paraId="0DD91B41" w14:textId="77777777" w:rsidR="00F114FC" w:rsidRPr="00B66200" w:rsidRDefault="00F114FC" w:rsidP="00CD71A3">
            <w:pPr>
              <w:pStyle w:val="NormalWeb"/>
              <w:jc w:val="center"/>
              <w:rPr>
                <w:b/>
                <w:bCs/>
              </w:rPr>
            </w:pPr>
            <w:r w:rsidRPr="00B66200">
              <w:rPr>
                <w:b/>
                <w:bCs/>
              </w:rPr>
              <w:t>12,103</w:t>
            </w:r>
          </w:p>
        </w:tc>
        <w:tc>
          <w:tcPr>
            <w:tcW w:w="780" w:type="dxa"/>
            <w:shd w:val="clear" w:color="auto" w:fill="FDE9D9" w:themeFill="accent6" w:themeFillTint="33"/>
            <w:hideMark/>
          </w:tcPr>
          <w:p w14:paraId="5CF75451" w14:textId="77777777" w:rsidR="00F114FC" w:rsidRPr="00B66200" w:rsidRDefault="00F114FC" w:rsidP="00CD71A3">
            <w:pPr>
              <w:pStyle w:val="NormalWeb"/>
              <w:jc w:val="center"/>
              <w:rPr>
                <w:b/>
                <w:bCs/>
              </w:rPr>
            </w:pPr>
            <w:r w:rsidRPr="00B66200">
              <w:rPr>
                <w:b/>
                <w:bCs/>
              </w:rPr>
              <w:t>2</w:t>
            </w:r>
          </w:p>
        </w:tc>
        <w:tc>
          <w:tcPr>
            <w:tcW w:w="779" w:type="dxa"/>
            <w:shd w:val="clear" w:color="auto" w:fill="FDE9D9" w:themeFill="accent6" w:themeFillTint="33"/>
            <w:hideMark/>
          </w:tcPr>
          <w:p w14:paraId="176AA11D" w14:textId="77777777" w:rsidR="00F114FC" w:rsidRPr="00B66200" w:rsidRDefault="00F114FC" w:rsidP="00CD71A3">
            <w:pPr>
              <w:pStyle w:val="NormalWeb"/>
              <w:jc w:val="center"/>
              <w:rPr>
                <w:b/>
                <w:bCs/>
              </w:rPr>
            </w:pPr>
            <w:r w:rsidRPr="00B66200">
              <w:rPr>
                <w:b/>
                <w:bCs/>
              </w:rPr>
              <w:t>21</w:t>
            </w:r>
          </w:p>
        </w:tc>
        <w:tc>
          <w:tcPr>
            <w:tcW w:w="779" w:type="dxa"/>
            <w:shd w:val="clear" w:color="auto" w:fill="FDE9D9" w:themeFill="accent6" w:themeFillTint="33"/>
            <w:hideMark/>
          </w:tcPr>
          <w:p w14:paraId="70B38869" w14:textId="77777777" w:rsidR="00F114FC" w:rsidRPr="00B66200" w:rsidRDefault="00F114FC" w:rsidP="00CD71A3">
            <w:pPr>
              <w:pStyle w:val="NormalWeb"/>
              <w:jc w:val="center"/>
              <w:rPr>
                <w:b/>
                <w:bCs/>
              </w:rPr>
            </w:pPr>
            <w:r w:rsidRPr="00B66200">
              <w:rPr>
                <w:b/>
                <w:bCs/>
              </w:rPr>
              <w:t>1</w:t>
            </w:r>
          </w:p>
        </w:tc>
        <w:tc>
          <w:tcPr>
            <w:tcW w:w="780" w:type="dxa"/>
            <w:shd w:val="clear" w:color="auto" w:fill="FDE9D9" w:themeFill="accent6" w:themeFillTint="33"/>
            <w:hideMark/>
          </w:tcPr>
          <w:p w14:paraId="32850ACC" w14:textId="77777777" w:rsidR="00F114FC" w:rsidRPr="00B66200" w:rsidRDefault="00F114FC" w:rsidP="00CD71A3">
            <w:pPr>
              <w:pStyle w:val="NormalWeb"/>
              <w:jc w:val="center"/>
              <w:rPr>
                <w:b/>
                <w:bCs/>
              </w:rPr>
            </w:pPr>
            <w:r w:rsidRPr="00B66200">
              <w:rPr>
                <w:b/>
                <w:bCs/>
              </w:rPr>
              <w:t>0</w:t>
            </w:r>
          </w:p>
        </w:tc>
        <w:tc>
          <w:tcPr>
            <w:tcW w:w="779" w:type="dxa"/>
            <w:shd w:val="clear" w:color="auto" w:fill="FDE9D9" w:themeFill="accent6" w:themeFillTint="33"/>
            <w:hideMark/>
          </w:tcPr>
          <w:p w14:paraId="34FC0841" w14:textId="77777777" w:rsidR="00F114FC" w:rsidRPr="00B66200" w:rsidRDefault="00F114FC" w:rsidP="00CD71A3">
            <w:pPr>
              <w:pStyle w:val="NormalWeb"/>
              <w:jc w:val="center"/>
              <w:rPr>
                <w:b/>
                <w:bCs/>
              </w:rPr>
            </w:pPr>
            <w:r w:rsidRPr="00B66200">
              <w:rPr>
                <w:b/>
                <w:bCs/>
              </w:rPr>
              <w:t>862</w:t>
            </w:r>
          </w:p>
        </w:tc>
        <w:tc>
          <w:tcPr>
            <w:tcW w:w="780" w:type="dxa"/>
            <w:shd w:val="clear" w:color="auto" w:fill="FDE9D9" w:themeFill="accent6" w:themeFillTint="33"/>
            <w:hideMark/>
          </w:tcPr>
          <w:p w14:paraId="43D57EC7" w14:textId="77777777" w:rsidR="00F114FC" w:rsidRPr="00B66200" w:rsidRDefault="00F114FC" w:rsidP="00CD71A3">
            <w:pPr>
              <w:pStyle w:val="NormalWeb"/>
              <w:jc w:val="center"/>
              <w:rPr>
                <w:b/>
                <w:bCs/>
              </w:rPr>
            </w:pPr>
            <w:r w:rsidRPr="00B66200">
              <w:rPr>
                <w:b/>
                <w:bCs/>
              </w:rPr>
              <w:t>25</w:t>
            </w:r>
          </w:p>
        </w:tc>
        <w:tc>
          <w:tcPr>
            <w:tcW w:w="1509" w:type="dxa"/>
            <w:shd w:val="clear" w:color="auto" w:fill="FDE9D9" w:themeFill="accent6" w:themeFillTint="33"/>
            <w:hideMark/>
          </w:tcPr>
          <w:p w14:paraId="706D77F9" w14:textId="77777777" w:rsidR="00F114FC" w:rsidRPr="00B66200" w:rsidRDefault="00F114FC" w:rsidP="00CD71A3">
            <w:pPr>
              <w:pStyle w:val="NormalWeb"/>
              <w:jc w:val="center"/>
              <w:rPr>
                <w:b/>
                <w:bCs/>
              </w:rPr>
            </w:pPr>
            <w:r w:rsidRPr="00B66200">
              <w:rPr>
                <w:b/>
                <w:bCs/>
              </w:rPr>
              <w:t>13,252</w:t>
            </w:r>
          </w:p>
        </w:tc>
      </w:tr>
    </w:tbl>
    <w:p w14:paraId="53D8870A" w14:textId="77777777" w:rsidR="00F114FC" w:rsidRDefault="00F114FC" w:rsidP="00F114FC">
      <w:pPr>
        <w:pStyle w:val="CDIfootnotes"/>
        <w:rPr>
          <w:lang w:val="en-GB"/>
        </w:rPr>
      </w:pPr>
      <w:r>
        <w:rPr>
          <w:lang w:val="en-GB"/>
        </w:rPr>
        <w:t>a</w:t>
      </w:r>
      <w:r>
        <w:rPr>
          <w:lang w:val="en-GB"/>
        </w:rPr>
        <w:tab/>
        <w:t>Source: NINDSS extract from 31 August 2021 for notifications to 29 August 2021.</w:t>
      </w:r>
    </w:p>
    <w:p w14:paraId="7690FAEE" w14:textId="3DAC9AB9" w:rsidR="00A32CF3" w:rsidRPr="00F114FC" w:rsidRDefault="00F114FC" w:rsidP="007220A8">
      <w:pPr>
        <w:pStyle w:val="CDIfootnotes"/>
        <w:rPr>
          <w:lang w:val="en-GB"/>
        </w:rPr>
      </w:pPr>
      <w:r>
        <w:rPr>
          <w:lang w:val="en-GB"/>
        </w:rPr>
        <w:t>b</w:t>
      </w:r>
      <w:r>
        <w:rPr>
          <w:lang w:val="en-GB"/>
        </w:rPr>
        <w:tab/>
        <w:t>ACT: Australian Capital Territory; NSW: New South Wales; NT: Northern Territory; Qld: Queensland; SA: South Australia; Tas.: Tasmania; Vic.: Victoria; WA: Western Australia.</w:t>
      </w:r>
    </w:p>
    <w:p w14:paraId="32F77984" w14:textId="77777777" w:rsidR="00A32CF3" w:rsidRDefault="00A32CF3" w:rsidP="007220A8">
      <w:r>
        <w:t xml:space="preserve">In the year to date, from 1 January 2021 to 29 August 2021, there have been 23,935 COVID-19 cases reported nationally. Until the week ending 20 June 2021, the number of weekly cases diagnosed this year had been below 180 cases per week. Since then, there has been a continuing increase in new cases (Figure 1), with each week in the latest fortnight exceeding 5,000 cases per week. The number of cases in each week of the current reporting period exceeded the two distinct peaks experienced in March and July of 2020, when the number of weekly cases </w:t>
      </w:r>
      <w:r>
        <w:lastRenderedPageBreak/>
        <w:t xml:space="preserve">diagnosed reached approximately 2,700 and 3,000 respectively (Figure 2). Cumulatively, since the beginning of the epidemic in Australia, there have been 52,345 COVID-19 cases reported in Australia. </w:t>
      </w:r>
    </w:p>
    <w:p w14:paraId="48E3F1AD" w14:textId="77777777" w:rsidR="00F114FC" w:rsidRPr="008E62F4" w:rsidRDefault="00F114FC" w:rsidP="00F114FC">
      <w:pPr>
        <w:pStyle w:val="CDIFigures"/>
      </w:pPr>
      <w:r w:rsidRPr="008E62F4">
        <w:rPr>
          <w:rStyle w:val="Strong"/>
          <w:b/>
          <w:bCs w:val="0"/>
        </w:rPr>
        <w:t>Figure 1: COVID-19 notified cases by source of acquisition and diagnosis date, 28 December 2020 – 29</w:t>
      </w:r>
      <w:r>
        <w:rPr>
          <w:rStyle w:val="Strong"/>
          <w:b/>
          <w:bCs w:val="0"/>
        </w:rPr>
        <w:t> </w:t>
      </w:r>
      <w:r w:rsidRPr="008E62F4">
        <w:rPr>
          <w:rStyle w:val="Strong"/>
          <w:b/>
          <w:bCs w:val="0"/>
        </w:rPr>
        <w:t>August</w:t>
      </w:r>
      <w:r>
        <w:rPr>
          <w:rStyle w:val="Strong"/>
          <w:b/>
          <w:bCs w:val="0"/>
        </w:rPr>
        <w:t> </w:t>
      </w:r>
      <w:r w:rsidRPr="008E62F4">
        <w:rPr>
          <w:rStyle w:val="Strong"/>
          <w:b/>
          <w:bCs w:val="0"/>
        </w:rPr>
        <w:t>2021</w:t>
      </w:r>
      <w:r w:rsidRPr="008E62F4">
        <w:rPr>
          <w:rStyle w:val="Strong"/>
          <w:b/>
          <w:bCs w:val="0"/>
          <w:vertAlign w:val="superscript"/>
        </w:rPr>
        <w:t>a</w:t>
      </w:r>
    </w:p>
    <w:p w14:paraId="6BBB607F" w14:textId="77777777" w:rsidR="00F114FC" w:rsidRDefault="00F114FC" w:rsidP="00F114FC">
      <w:pPr>
        <w:pStyle w:val="NormalWeb"/>
        <w:rPr>
          <w:lang w:val="en-GB"/>
        </w:rPr>
      </w:pPr>
      <w:r>
        <w:rPr>
          <w:noProof/>
          <w:lang w:val="en-GB"/>
        </w:rPr>
        <w:drawing>
          <wp:inline distT="0" distB="0" distL="0" distR="0" wp14:anchorId="420AED71" wp14:editId="0024CF2A">
            <wp:extent cx="6662804" cy="2882572"/>
            <wp:effectExtent l="0" t="0" r="5080" b="0"/>
            <wp:docPr id="4" name="Picture 4" descr="A bar chart of new case notifications in Australia, by week of illness diagnosis and source of acquisition, for the calendar year to date. For the first 25 weeks of 2021, until the week ending 20 June, weekly case notifications remained below 180 cases per week and were generally dominated by overseas-acquired cases; locally-acquired cases have predominated for the last eight weeks, with total cases exceeding 5,000 in each week of the current reporting fortn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r chart of new case notifications in Australia, by week of illness diagnosis and source of acquisition, for the calendar year to date. For the first 25 weeks of 2021, until the week ending 20 June, weekly case notifications remained below 180 cases per week and were generally dominated by overseas-acquired cases; locally-acquired cases have predominated for the last eight weeks, with total cases exceeding 5,000 in each week of the current reporting fortnight.&#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62804" cy="2882572"/>
                    </a:xfrm>
                    <a:prstGeom prst="rect">
                      <a:avLst/>
                    </a:prstGeom>
                  </pic:spPr>
                </pic:pic>
              </a:graphicData>
            </a:graphic>
          </wp:inline>
        </w:drawing>
      </w:r>
    </w:p>
    <w:p w14:paraId="59631330" w14:textId="077E70E2" w:rsidR="00F114FC" w:rsidRPr="00F114FC" w:rsidRDefault="00F114FC" w:rsidP="00F114FC">
      <w:pPr>
        <w:pStyle w:val="CDIfootnotes"/>
        <w:rPr>
          <w:lang w:val="en-GB"/>
        </w:rPr>
      </w:pPr>
      <w:r>
        <w:rPr>
          <w:lang w:val="en-GB"/>
        </w:rPr>
        <w:t>a</w:t>
      </w:r>
      <w:r>
        <w:rPr>
          <w:lang w:val="en-GB"/>
        </w:rPr>
        <w:tab/>
        <w:t>Source: NINDSS, extract from 31 August 2021 for notifications to 29 August 2021.</w:t>
      </w:r>
    </w:p>
    <w:p w14:paraId="1021FDF0" w14:textId="75BB7F43" w:rsidR="009763AB" w:rsidRPr="008E62F4" w:rsidRDefault="009763AB" w:rsidP="009763AB">
      <w:pPr>
        <w:pStyle w:val="CDIFigures"/>
      </w:pPr>
      <w:r w:rsidRPr="008E62F4">
        <w:rPr>
          <w:rStyle w:val="Strong"/>
          <w:b/>
          <w:bCs w:val="0"/>
        </w:rPr>
        <w:t>Figure 2: COVID-19 notified cases by source of acquisition and diagnosis date, 2 March 2020 – 29 August 2021</w:t>
      </w:r>
      <w:r w:rsidRPr="008E62F4">
        <w:rPr>
          <w:rStyle w:val="Strong"/>
          <w:b/>
          <w:bCs w:val="0"/>
          <w:vertAlign w:val="superscript"/>
        </w:rPr>
        <w:t>a</w:t>
      </w:r>
    </w:p>
    <w:p w14:paraId="0317904C" w14:textId="77777777" w:rsidR="009763AB" w:rsidRDefault="009763AB" w:rsidP="009763AB">
      <w:pPr>
        <w:pStyle w:val="NormalWeb"/>
        <w:rPr>
          <w:lang w:val="en-GB"/>
        </w:rPr>
      </w:pPr>
      <w:r>
        <w:rPr>
          <w:noProof/>
          <w:lang w:val="en-GB"/>
        </w:rPr>
        <w:drawing>
          <wp:inline distT="0" distB="0" distL="0" distR="0" wp14:anchorId="46D16246" wp14:editId="14CFC335">
            <wp:extent cx="6608100" cy="2976770"/>
            <wp:effectExtent l="0" t="0" r="2540" b="0"/>
            <wp:docPr id="2" name="Picture 2" descr="A bar chart of new case notifications in Australia, by week of illness diagnosis and source of acquisition, since the start of the COVID-19 epidemic in Australia. There is an evident peak in notifications in the week ending 22 March 2020, with a majority of cases during this time overseas acquired. In contrast, almost all cases from 1 June to 11 October 2020 (and peaking in the weeks ending 26 July and 2 August) were reported as locally acquired. After several subsequent months largely dominated by overseas-acquired cases and generally low weekly case numbers, a further escalation in cases (largely locally acquired), starting from the week ending 27 June 2021, is evid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 chart of new case notifications in Australia, by week of illness diagnosis and source of acquisition, since the start of the COVID-19 epidemic in Australia. There is an evident peak in notifications in the week ending 22 March 2020, with a majority of cases during this time overseas acquired. In contrast, almost all cases from 1 June to 11 October 2020 (and peaking in the weeks ending 26 July and 2 August) were reported as locally acquired. After several subsequent months largely dominated by overseas-acquired cases and generally low weekly case numbers, a further escalation in cases (largely locally acquired), starting from the week ending 27 June 2021, is evident. &#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17674" cy="2981083"/>
                    </a:xfrm>
                    <a:prstGeom prst="rect">
                      <a:avLst/>
                    </a:prstGeom>
                  </pic:spPr>
                </pic:pic>
              </a:graphicData>
            </a:graphic>
          </wp:inline>
        </w:drawing>
      </w:r>
    </w:p>
    <w:p w14:paraId="18F87EB7" w14:textId="7B098E2A" w:rsidR="009763AB" w:rsidRPr="009763AB" w:rsidRDefault="009763AB" w:rsidP="009763AB">
      <w:pPr>
        <w:pStyle w:val="CDIfootnotes"/>
        <w:rPr>
          <w:lang w:val="en-GB"/>
        </w:rPr>
      </w:pPr>
      <w:r>
        <w:rPr>
          <w:lang w:val="en-GB"/>
        </w:rPr>
        <w:t>a</w:t>
      </w:r>
      <w:r>
        <w:rPr>
          <w:lang w:val="en-GB"/>
        </w:rPr>
        <w:tab/>
        <w:t>Source: NINDSS, extract from 31 August 2021 for notifications to 29 August 2021.</w:t>
      </w:r>
      <w:r>
        <w:br w:type="page"/>
      </w:r>
    </w:p>
    <w:p w14:paraId="54F2A0A4" w14:textId="77777777" w:rsidR="009763AB" w:rsidRDefault="009763AB" w:rsidP="007220A8">
      <w:pPr>
        <w:pStyle w:val="Heading2"/>
      </w:pPr>
    </w:p>
    <w:p w14:paraId="5AFD9CEF" w14:textId="12210CE6" w:rsidR="00A32CF3" w:rsidRPr="007220A8" w:rsidRDefault="00A32CF3" w:rsidP="007220A8">
      <w:pPr>
        <w:pStyle w:val="Heading2"/>
      </w:pPr>
      <w:r w:rsidRPr="007220A8">
        <w:t xml:space="preserve">Source of acquisition </w:t>
      </w:r>
    </w:p>
    <w:p w14:paraId="4E7A70D0" w14:textId="77777777" w:rsidR="00A32CF3" w:rsidRPr="007220A8" w:rsidRDefault="00A32CF3" w:rsidP="007220A8">
      <w:pPr>
        <w:pStyle w:val="Heading3"/>
      </w:pPr>
      <w:r w:rsidRPr="007220A8">
        <w:t xml:space="preserve">(NINDSS) </w:t>
      </w:r>
    </w:p>
    <w:p w14:paraId="4A46BC4B" w14:textId="4A574618" w:rsidR="00A32CF3" w:rsidRDefault="00A32CF3" w:rsidP="007220A8">
      <w:r>
        <w:t xml:space="preserve">In this reporting period, 99% of cases notified (13,066/13,252) were locally acquired and 1% (85/13,252) were overseas acquired. At the end of the reporting period, there were 100 cases under initial investigation, 63 from Victoria, 35 from New South Wales and two from </w:t>
      </w:r>
      <w:r w:rsidR="009F1343">
        <w:rPr>
          <w:rFonts w:ascii="Segoe UI" w:hAnsi="Segoe UI" w:cs="Segoe UI"/>
          <w:color w:val="000000"/>
          <w:sz w:val="21"/>
          <w:szCs w:val="21"/>
        </w:rPr>
        <w:t>Queensland</w:t>
      </w:r>
      <w:r>
        <w:t xml:space="preserve"> (Table 1). </w:t>
      </w:r>
    </w:p>
    <w:p w14:paraId="16B27632" w14:textId="77777777" w:rsidR="00A32CF3" w:rsidRDefault="00A32CF3" w:rsidP="007220A8">
      <w:r>
        <w:t xml:space="preserve">New South Wales reported the majority of </w:t>
      </w:r>
      <w:proofErr w:type="gramStart"/>
      <w:r>
        <w:t>locally-acquired</w:t>
      </w:r>
      <w:proofErr w:type="gramEnd"/>
      <w:r>
        <w:t xml:space="preserve"> cases (92%; 12,032/13,066) in this fortnight, followed by Victoria (6%; 793/13,066). In the reporting period, 38% (4,971/13,066) of </w:t>
      </w:r>
      <w:proofErr w:type="gramStart"/>
      <w:r>
        <w:t>locally-acquired</w:t>
      </w:r>
      <w:proofErr w:type="gramEnd"/>
      <w:r>
        <w:t xml:space="preserve"> cases had a known contact or link to a cluster, and 125 cases (64 in New South Wales, 42 in Victoria and 19 in the Australian Capital Territory) had an unknown source. At the end of the reporting period, the source of infection was under ongoing investigation for 7,970 cases from New South Wales. </w:t>
      </w:r>
    </w:p>
    <w:p w14:paraId="576D13AF" w14:textId="18D16E8C" w:rsidR="00A32CF3" w:rsidRDefault="00A32CF3" w:rsidP="007220A8">
      <w:r>
        <w:t xml:space="preserve">For 2021 to date, New South Wales had the highest infection rate for </w:t>
      </w:r>
      <w:proofErr w:type="gramStart"/>
      <w:r>
        <w:t>locally-acquired</w:t>
      </w:r>
      <w:proofErr w:type="gramEnd"/>
      <w:r>
        <w:t xml:space="preserve"> cases with 246.9 infections per 100,000 population, followed by the Australian Capital Territory with a rate of 60.5 infections per 100,000 population (Table 2). Based on cases notified up to 29 August 2021, Tasmania reported that it had been more than a year since the last </w:t>
      </w:r>
      <w:proofErr w:type="gramStart"/>
      <w:r>
        <w:t>locally-acquired</w:t>
      </w:r>
      <w:proofErr w:type="gramEnd"/>
      <w:r>
        <w:t xml:space="preserve"> case (Table 3). </w:t>
      </w:r>
    </w:p>
    <w:p w14:paraId="22175131" w14:textId="77777777" w:rsidR="008F2FDA" w:rsidRPr="008E62F4" w:rsidRDefault="008F2FDA" w:rsidP="008F2FDA">
      <w:pPr>
        <w:pStyle w:val="CDIFigures"/>
      </w:pPr>
      <w:r w:rsidRPr="008E62F4">
        <w:rPr>
          <w:rStyle w:val="Strong"/>
          <w:b/>
          <w:bCs w:val="0"/>
        </w:rPr>
        <w:t xml:space="preserve">Table 2: </w:t>
      </w:r>
      <w:proofErr w:type="gramStart"/>
      <w:r w:rsidRPr="008E62F4">
        <w:rPr>
          <w:rStyle w:val="Strong"/>
          <w:b/>
          <w:bCs w:val="0"/>
        </w:rPr>
        <w:t>Locally-acquired</w:t>
      </w:r>
      <w:proofErr w:type="gramEnd"/>
      <w:r w:rsidRPr="008E62F4">
        <w:rPr>
          <w:rStyle w:val="Strong"/>
          <w:b/>
          <w:bCs w:val="0"/>
        </w:rPr>
        <w:t xml:space="preserve"> COVID-19 case numbers and rates per 100,000 population by jurisdiction and reporting period, Australia, with a notification received date from 1 January to 29 August 2021</w:t>
      </w:r>
      <w:r w:rsidRPr="008E62F4">
        <w:rPr>
          <w:rStyle w:val="Strong"/>
          <w:b/>
          <w:bCs w:val="0"/>
          <w:vertAlign w:val="superscript"/>
        </w:rPr>
        <w:t>a</w:t>
      </w:r>
    </w:p>
    <w:tbl>
      <w:tblPr>
        <w:tblStyle w:val="CDI-StandardTable"/>
        <w:tblW w:w="0" w:type="auto"/>
        <w:tblLook w:val="04A0" w:firstRow="1" w:lastRow="0" w:firstColumn="1" w:lastColumn="0" w:noHBand="0" w:noVBand="1"/>
        <w:tblDescription w:val="Table 2 shows the locally-acquired case notifications within each jurisdiction for the current two-week reporting period, the previous two-week reporting period, and the total case numbers and rates per 100,000 population for each jurisdiction for the calendar year to date. For this reporting period, there were 13,066 locally-acquired cases, most of them notified in New South Wales (12,032 cases). Other jurisdictions with locally-acquired cases this reporting period were Victoria (793), the Australian Capital Territory (238) and Queensland (3). Significantly more locally-acquired cases were notified in the current reporting period than in the previous reporting period (also dominated by cases in New South Wales). Nationwide, the total number of locally-acquired cases for the calendar year to date is 22,071 cases, with a corresponding locally-acquired case rate of 85.9 cases per 100,000 population, predominantly driven by New South Wales’ case rate this year of 246.9 cases per 100,000 population.&#10;"/>
      </w:tblPr>
      <w:tblGrid>
        <w:gridCol w:w="1282"/>
        <w:gridCol w:w="1776"/>
        <w:gridCol w:w="2976"/>
        <w:gridCol w:w="2216"/>
        <w:gridCol w:w="2216"/>
      </w:tblGrid>
      <w:tr w:rsidR="008F2FDA" w:rsidRPr="00B66200" w14:paraId="2F60EAC3" w14:textId="77777777" w:rsidTr="00CD71A3">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73929964" w14:textId="77777777" w:rsidR="008F2FDA" w:rsidRPr="00B66200" w:rsidRDefault="008F2FDA" w:rsidP="00CD71A3">
            <w:pPr>
              <w:pStyle w:val="NormalWeb"/>
              <w:rPr>
                <w:color w:val="FFFFFF" w:themeColor="background1"/>
              </w:rPr>
            </w:pPr>
            <w:r w:rsidRPr="00B66200">
              <w:rPr>
                <w:color w:val="FFFFFF" w:themeColor="background1"/>
              </w:rPr>
              <w:t>Jurisdiction</w:t>
            </w:r>
          </w:p>
        </w:tc>
        <w:tc>
          <w:tcPr>
            <w:tcW w:w="0" w:type="auto"/>
            <w:tcBorders>
              <w:left w:val="single" w:sz="2" w:space="0" w:color="FFFFFF" w:themeColor="background1"/>
              <w:bottom w:val="single" w:sz="2" w:space="0" w:color="FFFFFF" w:themeColor="background1"/>
              <w:right w:val="single" w:sz="2" w:space="0" w:color="FFFFFF" w:themeColor="background1"/>
            </w:tcBorders>
            <w:hideMark/>
          </w:tcPr>
          <w:p w14:paraId="5A13944D" w14:textId="77777777" w:rsidR="008F2FDA" w:rsidRPr="00B66200" w:rsidRDefault="008F2FDA" w:rsidP="00CD71A3">
            <w:pPr>
              <w:pStyle w:val="NormalWeb"/>
              <w:jc w:val="center"/>
              <w:rPr>
                <w:color w:val="FFFFFF" w:themeColor="background1"/>
              </w:rPr>
            </w:pPr>
            <w:r w:rsidRPr="00B66200">
              <w:rPr>
                <w:color w:val="FFFFFF" w:themeColor="background1"/>
              </w:rPr>
              <w:t>Reporting period</w:t>
            </w:r>
            <w:r w:rsidRPr="00B66200">
              <w:rPr>
                <w:color w:val="FFFFFF" w:themeColor="background1"/>
              </w:rPr>
              <w:br/>
              <w:t>16–29 August 2021</w:t>
            </w:r>
          </w:p>
        </w:tc>
        <w:tc>
          <w:tcPr>
            <w:tcW w:w="2976" w:type="dxa"/>
            <w:tcBorders>
              <w:left w:val="single" w:sz="2" w:space="0" w:color="FFFFFF" w:themeColor="background1"/>
              <w:bottom w:val="single" w:sz="2" w:space="0" w:color="FFFFFF" w:themeColor="background1"/>
              <w:right w:val="single" w:sz="2" w:space="0" w:color="FFFFFF" w:themeColor="background1"/>
            </w:tcBorders>
            <w:hideMark/>
          </w:tcPr>
          <w:p w14:paraId="3C2D3B4B" w14:textId="77777777" w:rsidR="008F2FDA" w:rsidRPr="00B66200" w:rsidRDefault="008F2FDA" w:rsidP="00CD71A3">
            <w:pPr>
              <w:pStyle w:val="NormalWeb"/>
              <w:jc w:val="center"/>
              <w:rPr>
                <w:color w:val="FFFFFF" w:themeColor="background1"/>
              </w:rPr>
            </w:pPr>
            <w:r w:rsidRPr="00B66200">
              <w:rPr>
                <w:color w:val="FFFFFF" w:themeColor="background1"/>
              </w:rPr>
              <w:t>Reporting period</w:t>
            </w:r>
            <w:r w:rsidRPr="00B66200">
              <w:rPr>
                <w:color w:val="FFFFFF" w:themeColor="background1"/>
              </w:rPr>
              <w:br/>
              <w:t>2–15 August 2021</w:t>
            </w:r>
          </w:p>
        </w:tc>
        <w:tc>
          <w:tcPr>
            <w:tcW w:w="4432" w:type="dxa"/>
            <w:gridSpan w:val="2"/>
            <w:tcBorders>
              <w:left w:val="single" w:sz="2" w:space="0" w:color="FFFFFF" w:themeColor="background1"/>
              <w:bottom w:val="single" w:sz="2" w:space="0" w:color="FFFFFF" w:themeColor="background1"/>
            </w:tcBorders>
            <w:hideMark/>
          </w:tcPr>
          <w:p w14:paraId="2E48869C" w14:textId="77777777" w:rsidR="008F2FDA" w:rsidRPr="00B66200" w:rsidRDefault="008F2FDA" w:rsidP="00CD71A3">
            <w:pPr>
              <w:pStyle w:val="NormalWeb"/>
              <w:jc w:val="center"/>
              <w:rPr>
                <w:color w:val="FFFFFF" w:themeColor="background1"/>
              </w:rPr>
            </w:pPr>
            <w:r w:rsidRPr="00B66200">
              <w:rPr>
                <w:color w:val="FFFFFF" w:themeColor="background1"/>
              </w:rPr>
              <w:t>Cases this year</w:t>
            </w:r>
            <w:r w:rsidRPr="00B66200">
              <w:rPr>
                <w:color w:val="FFFFFF" w:themeColor="background1"/>
              </w:rPr>
              <w:br/>
              <w:t>1 January – 29 August 2021b</w:t>
            </w:r>
          </w:p>
        </w:tc>
      </w:tr>
      <w:tr w:rsidR="008F2FDA" w:rsidRPr="00B66200" w14:paraId="25B1B1AD" w14:textId="77777777" w:rsidTr="00CD71A3">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341AF762" w14:textId="77777777" w:rsidR="008F2FDA" w:rsidRPr="00B66200" w:rsidRDefault="008F2FDA" w:rsidP="00CD71A3">
            <w:pPr>
              <w:rPr>
                <w:color w:val="FFFFFF" w:themeColor="background1"/>
                <w:sz w:val="24"/>
                <w:szCs w:val="24"/>
              </w:rPr>
            </w:pPr>
          </w:p>
        </w:tc>
        <w:tc>
          <w:tcPr>
            <w:tcW w:w="0" w:type="auto"/>
            <w:tcBorders>
              <w:top w:val="single" w:sz="2" w:space="0" w:color="FFFFFF" w:themeColor="background1"/>
              <w:left w:val="single" w:sz="2" w:space="0" w:color="FFFFFF" w:themeColor="background1"/>
              <w:right w:val="single" w:sz="2" w:space="0" w:color="FFFFFF" w:themeColor="background1"/>
            </w:tcBorders>
            <w:hideMark/>
          </w:tcPr>
          <w:p w14:paraId="09913B74" w14:textId="77777777" w:rsidR="008F2FDA" w:rsidRPr="00B66200" w:rsidRDefault="008F2FDA" w:rsidP="00CD71A3">
            <w:pPr>
              <w:pStyle w:val="NormalWeb"/>
              <w:jc w:val="center"/>
              <w:rPr>
                <w:color w:val="FFFFFF" w:themeColor="background1"/>
              </w:rPr>
            </w:pPr>
            <w:r w:rsidRPr="00B66200">
              <w:rPr>
                <w:color w:val="FFFFFF" w:themeColor="background1"/>
              </w:rPr>
              <w:t xml:space="preserve">Number of </w:t>
            </w:r>
            <w:proofErr w:type="spellStart"/>
            <w:r w:rsidRPr="00B66200">
              <w:rPr>
                <w:color w:val="FFFFFF" w:themeColor="background1"/>
              </w:rPr>
              <w:t>cases</w:t>
            </w:r>
            <w:r w:rsidRPr="00DD5B72">
              <w:rPr>
                <w:color w:val="FFFFFF" w:themeColor="background1"/>
                <w:vertAlign w:val="superscript"/>
              </w:rPr>
              <w:t>b</w:t>
            </w:r>
            <w:proofErr w:type="spellEnd"/>
          </w:p>
        </w:tc>
        <w:tc>
          <w:tcPr>
            <w:tcW w:w="2976" w:type="dxa"/>
            <w:tcBorders>
              <w:top w:val="single" w:sz="2" w:space="0" w:color="FFFFFF" w:themeColor="background1"/>
              <w:left w:val="single" w:sz="2" w:space="0" w:color="FFFFFF" w:themeColor="background1"/>
              <w:right w:val="single" w:sz="2" w:space="0" w:color="FFFFFF" w:themeColor="background1"/>
            </w:tcBorders>
            <w:hideMark/>
          </w:tcPr>
          <w:p w14:paraId="23A2843E" w14:textId="77777777" w:rsidR="008F2FDA" w:rsidRPr="00B66200" w:rsidRDefault="008F2FDA" w:rsidP="00CD71A3">
            <w:pPr>
              <w:pStyle w:val="NormalWeb"/>
              <w:jc w:val="center"/>
              <w:rPr>
                <w:color w:val="FFFFFF" w:themeColor="background1"/>
              </w:rPr>
            </w:pPr>
            <w:r w:rsidRPr="00B66200">
              <w:rPr>
                <w:color w:val="FFFFFF" w:themeColor="background1"/>
              </w:rPr>
              <w:t xml:space="preserve">Number of </w:t>
            </w:r>
            <w:proofErr w:type="spellStart"/>
            <w:r w:rsidRPr="00B66200">
              <w:rPr>
                <w:color w:val="FFFFFF" w:themeColor="background1"/>
              </w:rPr>
              <w:t>cases</w:t>
            </w:r>
            <w:r w:rsidRPr="00DD5B72">
              <w:rPr>
                <w:color w:val="FFFFFF" w:themeColor="background1"/>
                <w:vertAlign w:val="superscript"/>
              </w:rPr>
              <w:t>b</w:t>
            </w:r>
            <w:proofErr w:type="spellEnd"/>
          </w:p>
        </w:tc>
        <w:tc>
          <w:tcPr>
            <w:tcW w:w="2216" w:type="dxa"/>
            <w:tcBorders>
              <w:top w:val="single" w:sz="2" w:space="0" w:color="FFFFFF" w:themeColor="background1"/>
              <w:left w:val="single" w:sz="2" w:space="0" w:color="FFFFFF" w:themeColor="background1"/>
              <w:right w:val="single" w:sz="2" w:space="0" w:color="FFFFFF" w:themeColor="background1"/>
            </w:tcBorders>
            <w:hideMark/>
          </w:tcPr>
          <w:p w14:paraId="2CB813B8" w14:textId="77777777" w:rsidR="008F2FDA" w:rsidRPr="00B66200" w:rsidRDefault="008F2FDA" w:rsidP="00CD71A3">
            <w:pPr>
              <w:pStyle w:val="NormalWeb"/>
              <w:jc w:val="center"/>
              <w:rPr>
                <w:color w:val="FFFFFF" w:themeColor="background1"/>
              </w:rPr>
            </w:pPr>
            <w:r w:rsidRPr="00B66200">
              <w:rPr>
                <w:color w:val="FFFFFF" w:themeColor="background1"/>
              </w:rPr>
              <w:t xml:space="preserve">Number of </w:t>
            </w:r>
            <w:proofErr w:type="spellStart"/>
            <w:r w:rsidRPr="00B66200">
              <w:rPr>
                <w:color w:val="FFFFFF" w:themeColor="background1"/>
              </w:rPr>
              <w:t>cases</w:t>
            </w:r>
            <w:r w:rsidRPr="00DD5B72">
              <w:rPr>
                <w:color w:val="FFFFFF" w:themeColor="background1"/>
                <w:vertAlign w:val="superscript"/>
              </w:rPr>
              <w:t>b</w:t>
            </w:r>
            <w:proofErr w:type="spellEnd"/>
          </w:p>
        </w:tc>
        <w:tc>
          <w:tcPr>
            <w:tcW w:w="2216" w:type="dxa"/>
            <w:tcBorders>
              <w:top w:val="single" w:sz="2" w:space="0" w:color="FFFFFF" w:themeColor="background1"/>
              <w:left w:val="single" w:sz="2" w:space="0" w:color="FFFFFF" w:themeColor="background1"/>
            </w:tcBorders>
            <w:hideMark/>
          </w:tcPr>
          <w:p w14:paraId="2CD9417A" w14:textId="77777777" w:rsidR="008F2FDA" w:rsidRPr="00B66200" w:rsidRDefault="008F2FDA" w:rsidP="00CD71A3">
            <w:pPr>
              <w:pStyle w:val="NormalWeb"/>
              <w:jc w:val="center"/>
              <w:rPr>
                <w:color w:val="FFFFFF" w:themeColor="background1"/>
              </w:rPr>
            </w:pPr>
            <w:r w:rsidRPr="00B66200">
              <w:rPr>
                <w:color w:val="FFFFFF" w:themeColor="background1"/>
              </w:rPr>
              <w:t xml:space="preserve">Rate per 100,000 </w:t>
            </w:r>
            <w:proofErr w:type="spellStart"/>
            <w:r w:rsidRPr="00B66200">
              <w:rPr>
                <w:color w:val="FFFFFF" w:themeColor="background1"/>
              </w:rPr>
              <w:t>population</w:t>
            </w:r>
            <w:r w:rsidRPr="00DD5B72">
              <w:rPr>
                <w:color w:val="FFFFFF" w:themeColor="background1"/>
                <w:vertAlign w:val="superscript"/>
              </w:rPr>
              <w:t>c</w:t>
            </w:r>
            <w:proofErr w:type="spellEnd"/>
          </w:p>
        </w:tc>
      </w:tr>
      <w:tr w:rsidR="008F2FDA" w14:paraId="3735E773" w14:textId="77777777" w:rsidTr="00CD71A3">
        <w:tblPrEx>
          <w:tblCellMar>
            <w:top w:w="57" w:type="dxa"/>
            <w:left w:w="57" w:type="dxa"/>
            <w:bottom w:w="57" w:type="dxa"/>
            <w:right w:w="57" w:type="dxa"/>
          </w:tblCellMar>
        </w:tblPrEx>
        <w:tc>
          <w:tcPr>
            <w:tcW w:w="0" w:type="auto"/>
            <w:hideMark/>
          </w:tcPr>
          <w:p w14:paraId="2CF9F0D9" w14:textId="77777777" w:rsidR="008F2FDA" w:rsidRDefault="008F2FDA" w:rsidP="00CD71A3">
            <w:pPr>
              <w:pStyle w:val="NormalWeb"/>
            </w:pPr>
            <w:r>
              <w:t>ACT</w:t>
            </w:r>
          </w:p>
        </w:tc>
        <w:tc>
          <w:tcPr>
            <w:tcW w:w="0" w:type="auto"/>
            <w:hideMark/>
          </w:tcPr>
          <w:p w14:paraId="0B9974C0" w14:textId="77777777" w:rsidR="008F2FDA" w:rsidRDefault="008F2FDA" w:rsidP="00CD71A3">
            <w:pPr>
              <w:pStyle w:val="NormalWeb"/>
              <w:jc w:val="center"/>
            </w:pPr>
            <w:r>
              <w:t>238</w:t>
            </w:r>
          </w:p>
        </w:tc>
        <w:tc>
          <w:tcPr>
            <w:tcW w:w="2976" w:type="dxa"/>
            <w:hideMark/>
          </w:tcPr>
          <w:p w14:paraId="19209AE8" w14:textId="77777777" w:rsidR="008F2FDA" w:rsidRDefault="008F2FDA" w:rsidP="00CD71A3">
            <w:pPr>
              <w:pStyle w:val="NormalWeb"/>
              <w:jc w:val="center"/>
            </w:pPr>
            <w:r>
              <w:t>23</w:t>
            </w:r>
          </w:p>
        </w:tc>
        <w:tc>
          <w:tcPr>
            <w:tcW w:w="2216" w:type="dxa"/>
            <w:hideMark/>
          </w:tcPr>
          <w:p w14:paraId="12E36FC1" w14:textId="77777777" w:rsidR="008F2FDA" w:rsidRDefault="008F2FDA" w:rsidP="00CD71A3">
            <w:pPr>
              <w:pStyle w:val="NormalWeb"/>
              <w:jc w:val="center"/>
            </w:pPr>
            <w:r>
              <w:t>261</w:t>
            </w:r>
          </w:p>
        </w:tc>
        <w:tc>
          <w:tcPr>
            <w:tcW w:w="2216" w:type="dxa"/>
            <w:hideMark/>
          </w:tcPr>
          <w:p w14:paraId="3A42FECE" w14:textId="77777777" w:rsidR="008F2FDA" w:rsidRDefault="008F2FDA" w:rsidP="00CD71A3">
            <w:pPr>
              <w:pStyle w:val="NormalWeb"/>
              <w:jc w:val="center"/>
            </w:pPr>
            <w:r>
              <w:t>60.5</w:t>
            </w:r>
          </w:p>
        </w:tc>
      </w:tr>
      <w:tr w:rsidR="008F2FDA" w14:paraId="0FC5C743"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29FCEC9D" w14:textId="77777777" w:rsidR="008F2FDA" w:rsidRDefault="008F2FDA" w:rsidP="00CD71A3">
            <w:pPr>
              <w:pStyle w:val="NormalWeb"/>
            </w:pPr>
            <w:r>
              <w:t>NSW</w:t>
            </w:r>
          </w:p>
        </w:tc>
        <w:tc>
          <w:tcPr>
            <w:tcW w:w="0" w:type="auto"/>
            <w:hideMark/>
          </w:tcPr>
          <w:p w14:paraId="670E0199" w14:textId="77777777" w:rsidR="008F2FDA" w:rsidRDefault="008F2FDA" w:rsidP="00CD71A3">
            <w:pPr>
              <w:pStyle w:val="NormalWeb"/>
              <w:jc w:val="center"/>
            </w:pPr>
            <w:r>
              <w:t>12,032</w:t>
            </w:r>
          </w:p>
        </w:tc>
        <w:tc>
          <w:tcPr>
            <w:tcW w:w="2976" w:type="dxa"/>
            <w:hideMark/>
          </w:tcPr>
          <w:p w14:paraId="1F603E20" w14:textId="77777777" w:rsidR="008F2FDA" w:rsidRDefault="008F2FDA" w:rsidP="00CD71A3">
            <w:pPr>
              <w:pStyle w:val="NormalWeb"/>
              <w:jc w:val="center"/>
            </w:pPr>
            <w:r>
              <w:t>4,453</w:t>
            </w:r>
          </w:p>
        </w:tc>
        <w:tc>
          <w:tcPr>
            <w:tcW w:w="2216" w:type="dxa"/>
            <w:hideMark/>
          </w:tcPr>
          <w:p w14:paraId="4A3C088C" w14:textId="77777777" w:rsidR="008F2FDA" w:rsidRDefault="008F2FDA" w:rsidP="00CD71A3">
            <w:pPr>
              <w:pStyle w:val="NormalWeb"/>
              <w:jc w:val="center"/>
            </w:pPr>
            <w:r>
              <w:t>20,163</w:t>
            </w:r>
          </w:p>
        </w:tc>
        <w:tc>
          <w:tcPr>
            <w:tcW w:w="2216" w:type="dxa"/>
            <w:hideMark/>
          </w:tcPr>
          <w:p w14:paraId="7C20C22A" w14:textId="77777777" w:rsidR="008F2FDA" w:rsidRDefault="008F2FDA" w:rsidP="00CD71A3">
            <w:pPr>
              <w:pStyle w:val="NormalWeb"/>
              <w:jc w:val="center"/>
            </w:pPr>
            <w:r>
              <w:t>246.9</w:t>
            </w:r>
          </w:p>
        </w:tc>
      </w:tr>
      <w:tr w:rsidR="008F2FDA" w14:paraId="57397762" w14:textId="77777777" w:rsidTr="00CD71A3">
        <w:tblPrEx>
          <w:tblCellMar>
            <w:top w:w="57" w:type="dxa"/>
            <w:left w:w="57" w:type="dxa"/>
            <w:bottom w:w="57" w:type="dxa"/>
            <w:right w:w="57" w:type="dxa"/>
          </w:tblCellMar>
        </w:tblPrEx>
        <w:tc>
          <w:tcPr>
            <w:tcW w:w="0" w:type="auto"/>
            <w:hideMark/>
          </w:tcPr>
          <w:p w14:paraId="317A0E83" w14:textId="77777777" w:rsidR="008F2FDA" w:rsidRDefault="008F2FDA" w:rsidP="00CD71A3">
            <w:pPr>
              <w:pStyle w:val="NormalWeb"/>
            </w:pPr>
            <w:r>
              <w:t>NT</w:t>
            </w:r>
          </w:p>
        </w:tc>
        <w:tc>
          <w:tcPr>
            <w:tcW w:w="0" w:type="auto"/>
            <w:hideMark/>
          </w:tcPr>
          <w:p w14:paraId="328B81C5" w14:textId="77777777" w:rsidR="008F2FDA" w:rsidRDefault="008F2FDA" w:rsidP="00CD71A3">
            <w:pPr>
              <w:pStyle w:val="NormalWeb"/>
              <w:jc w:val="center"/>
            </w:pPr>
            <w:r>
              <w:t>0</w:t>
            </w:r>
          </w:p>
        </w:tc>
        <w:tc>
          <w:tcPr>
            <w:tcW w:w="2976" w:type="dxa"/>
            <w:hideMark/>
          </w:tcPr>
          <w:p w14:paraId="2CFE35AA" w14:textId="77777777" w:rsidR="008F2FDA" w:rsidRDefault="008F2FDA" w:rsidP="00CD71A3">
            <w:pPr>
              <w:pStyle w:val="NormalWeb"/>
              <w:jc w:val="center"/>
            </w:pPr>
            <w:r>
              <w:t>1</w:t>
            </w:r>
          </w:p>
        </w:tc>
        <w:tc>
          <w:tcPr>
            <w:tcW w:w="2216" w:type="dxa"/>
            <w:hideMark/>
          </w:tcPr>
          <w:p w14:paraId="2F5D7F18" w14:textId="77777777" w:rsidR="008F2FDA" w:rsidRDefault="008F2FDA" w:rsidP="00CD71A3">
            <w:pPr>
              <w:pStyle w:val="NormalWeb"/>
              <w:jc w:val="center"/>
            </w:pPr>
            <w:r>
              <w:t>11</w:t>
            </w:r>
          </w:p>
        </w:tc>
        <w:tc>
          <w:tcPr>
            <w:tcW w:w="2216" w:type="dxa"/>
            <w:hideMark/>
          </w:tcPr>
          <w:p w14:paraId="30E1885F" w14:textId="77777777" w:rsidR="008F2FDA" w:rsidRDefault="008F2FDA" w:rsidP="00CD71A3">
            <w:pPr>
              <w:pStyle w:val="NormalWeb"/>
              <w:jc w:val="center"/>
            </w:pPr>
            <w:r>
              <w:t>4.5</w:t>
            </w:r>
          </w:p>
        </w:tc>
      </w:tr>
      <w:tr w:rsidR="008F2FDA" w14:paraId="0D51B0C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52A5C065" w14:textId="77777777" w:rsidR="008F2FDA" w:rsidRDefault="008F2FDA" w:rsidP="00CD71A3">
            <w:pPr>
              <w:pStyle w:val="NormalWeb"/>
            </w:pPr>
            <w:r>
              <w:t>Qld</w:t>
            </w:r>
          </w:p>
        </w:tc>
        <w:tc>
          <w:tcPr>
            <w:tcW w:w="0" w:type="auto"/>
            <w:hideMark/>
          </w:tcPr>
          <w:p w14:paraId="3BD2BBB5" w14:textId="77777777" w:rsidR="008F2FDA" w:rsidRDefault="008F2FDA" w:rsidP="00CD71A3">
            <w:pPr>
              <w:pStyle w:val="NormalWeb"/>
              <w:jc w:val="center"/>
            </w:pPr>
            <w:r>
              <w:t>3</w:t>
            </w:r>
          </w:p>
        </w:tc>
        <w:tc>
          <w:tcPr>
            <w:tcW w:w="2976" w:type="dxa"/>
            <w:hideMark/>
          </w:tcPr>
          <w:p w14:paraId="1E77E081" w14:textId="77777777" w:rsidR="008F2FDA" w:rsidRDefault="008F2FDA" w:rsidP="00CD71A3">
            <w:pPr>
              <w:pStyle w:val="NormalWeb"/>
              <w:jc w:val="center"/>
            </w:pPr>
            <w:r>
              <w:t>102</w:t>
            </w:r>
          </w:p>
        </w:tc>
        <w:tc>
          <w:tcPr>
            <w:tcW w:w="2216" w:type="dxa"/>
            <w:hideMark/>
          </w:tcPr>
          <w:p w14:paraId="77EC6EDB" w14:textId="77777777" w:rsidR="008F2FDA" w:rsidRDefault="008F2FDA" w:rsidP="00CD71A3">
            <w:pPr>
              <w:pStyle w:val="NormalWeb"/>
              <w:jc w:val="center"/>
            </w:pPr>
            <w:r>
              <w:t>213</w:t>
            </w:r>
          </w:p>
        </w:tc>
        <w:tc>
          <w:tcPr>
            <w:tcW w:w="2216" w:type="dxa"/>
            <w:hideMark/>
          </w:tcPr>
          <w:p w14:paraId="4465B807" w14:textId="77777777" w:rsidR="008F2FDA" w:rsidRDefault="008F2FDA" w:rsidP="00CD71A3">
            <w:pPr>
              <w:pStyle w:val="NormalWeb"/>
              <w:jc w:val="center"/>
            </w:pPr>
            <w:r>
              <w:t>4.1</w:t>
            </w:r>
          </w:p>
        </w:tc>
      </w:tr>
      <w:tr w:rsidR="008F2FDA" w14:paraId="63A7A3B4" w14:textId="77777777" w:rsidTr="00CD71A3">
        <w:tblPrEx>
          <w:tblCellMar>
            <w:top w:w="57" w:type="dxa"/>
            <w:left w:w="57" w:type="dxa"/>
            <w:bottom w:w="57" w:type="dxa"/>
            <w:right w:w="57" w:type="dxa"/>
          </w:tblCellMar>
        </w:tblPrEx>
        <w:tc>
          <w:tcPr>
            <w:tcW w:w="0" w:type="auto"/>
            <w:hideMark/>
          </w:tcPr>
          <w:p w14:paraId="11F65ED0" w14:textId="77777777" w:rsidR="008F2FDA" w:rsidRDefault="008F2FDA" w:rsidP="00CD71A3">
            <w:pPr>
              <w:pStyle w:val="NormalWeb"/>
            </w:pPr>
            <w:r>
              <w:t>SA</w:t>
            </w:r>
          </w:p>
        </w:tc>
        <w:tc>
          <w:tcPr>
            <w:tcW w:w="0" w:type="auto"/>
            <w:hideMark/>
          </w:tcPr>
          <w:p w14:paraId="33A019B8" w14:textId="77777777" w:rsidR="008F2FDA" w:rsidRDefault="008F2FDA" w:rsidP="00CD71A3">
            <w:pPr>
              <w:pStyle w:val="NormalWeb"/>
              <w:jc w:val="center"/>
            </w:pPr>
            <w:r>
              <w:t>0</w:t>
            </w:r>
          </w:p>
        </w:tc>
        <w:tc>
          <w:tcPr>
            <w:tcW w:w="2976" w:type="dxa"/>
            <w:hideMark/>
          </w:tcPr>
          <w:p w14:paraId="20077E9D" w14:textId="77777777" w:rsidR="008F2FDA" w:rsidRDefault="008F2FDA" w:rsidP="00CD71A3">
            <w:pPr>
              <w:pStyle w:val="NormalWeb"/>
              <w:jc w:val="center"/>
            </w:pPr>
            <w:r>
              <w:t>1</w:t>
            </w:r>
          </w:p>
        </w:tc>
        <w:tc>
          <w:tcPr>
            <w:tcW w:w="2216" w:type="dxa"/>
            <w:hideMark/>
          </w:tcPr>
          <w:p w14:paraId="5A910D8C" w14:textId="77777777" w:rsidR="008F2FDA" w:rsidRDefault="008F2FDA" w:rsidP="00CD71A3">
            <w:pPr>
              <w:pStyle w:val="NormalWeb"/>
              <w:jc w:val="center"/>
            </w:pPr>
            <w:r>
              <w:t>28</w:t>
            </w:r>
          </w:p>
        </w:tc>
        <w:tc>
          <w:tcPr>
            <w:tcW w:w="2216" w:type="dxa"/>
            <w:hideMark/>
          </w:tcPr>
          <w:p w14:paraId="09C19CC3" w14:textId="77777777" w:rsidR="008F2FDA" w:rsidRDefault="008F2FDA" w:rsidP="00CD71A3">
            <w:pPr>
              <w:pStyle w:val="NormalWeb"/>
              <w:jc w:val="center"/>
            </w:pPr>
            <w:r>
              <w:t>1.6</w:t>
            </w:r>
          </w:p>
        </w:tc>
      </w:tr>
      <w:tr w:rsidR="008F2FDA" w14:paraId="58CBEBF4"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31401971" w14:textId="77777777" w:rsidR="008F2FDA" w:rsidRDefault="008F2FDA" w:rsidP="00CD71A3">
            <w:pPr>
              <w:pStyle w:val="NormalWeb"/>
            </w:pPr>
            <w:r>
              <w:t>Tas.</w:t>
            </w:r>
          </w:p>
        </w:tc>
        <w:tc>
          <w:tcPr>
            <w:tcW w:w="0" w:type="auto"/>
            <w:hideMark/>
          </w:tcPr>
          <w:p w14:paraId="031CD0DB" w14:textId="77777777" w:rsidR="008F2FDA" w:rsidRDefault="008F2FDA" w:rsidP="00CD71A3">
            <w:pPr>
              <w:pStyle w:val="NormalWeb"/>
              <w:jc w:val="center"/>
            </w:pPr>
            <w:r>
              <w:t>0</w:t>
            </w:r>
          </w:p>
        </w:tc>
        <w:tc>
          <w:tcPr>
            <w:tcW w:w="2976" w:type="dxa"/>
            <w:hideMark/>
          </w:tcPr>
          <w:p w14:paraId="03851C02" w14:textId="77777777" w:rsidR="008F2FDA" w:rsidRDefault="008F2FDA" w:rsidP="00CD71A3">
            <w:pPr>
              <w:pStyle w:val="NormalWeb"/>
              <w:jc w:val="center"/>
            </w:pPr>
            <w:r>
              <w:t>1</w:t>
            </w:r>
          </w:p>
        </w:tc>
        <w:tc>
          <w:tcPr>
            <w:tcW w:w="2216" w:type="dxa"/>
            <w:hideMark/>
          </w:tcPr>
          <w:p w14:paraId="24901FEB" w14:textId="77777777" w:rsidR="008F2FDA" w:rsidRDefault="008F2FDA" w:rsidP="00CD71A3">
            <w:pPr>
              <w:pStyle w:val="NormalWeb"/>
              <w:jc w:val="center"/>
            </w:pPr>
            <w:r>
              <w:t>1</w:t>
            </w:r>
          </w:p>
        </w:tc>
        <w:tc>
          <w:tcPr>
            <w:tcW w:w="2216" w:type="dxa"/>
            <w:hideMark/>
          </w:tcPr>
          <w:p w14:paraId="482544C4" w14:textId="77777777" w:rsidR="008F2FDA" w:rsidRDefault="008F2FDA" w:rsidP="00CD71A3">
            <w:pPr>
              <w:pStyle w:val="NormalWeb"/>
              <w:jc w:val="center"/>
            </w:pPr>
            <w:r>
              <w:t>0.2</w:t>
            </w:r>
          </w:p>
        </w:tc>
      </w:tr>
      <w:tr w:rsidR="008F2FDA" w14:paraId="1E935D89" w14:textId="77777777" w:rsidTr="00CD71A3">
        <w:tblPrEx>
          <w:tblCellMar>
            <w:top w:w="57" w:type="dxa"/>
            <w:left w:w="57" w:type="dxa"/>
            <w:bottom w:w="57" w:type="dxa"/>
            <w:right w:w="57" w:type="dxa"/>
          </w:tblCellMar>
        </w:tblPrEx>
        <w:tc>
          <w:tcPr>
            <w:tcW w:w="0" w:type="auto"/>
            <w:hideMark/>
          </w:tcPr>
          <w:p w14:paraId="2227E295" w14:textId="77777777" w:rsidR="008F2FDA" w:rsidRDefault="008F2FDA" w:rsidP="00CD71A3">
            <w:pPr>
              <w:pStyle w:val="NormalWeb"/>
            </w:pPr>
            <w:r>
              <w:t>Vic.</w:t>
            </w:r>
          </w:p>
        </w:tc>
        <w:tc>
          <w:tcPr>
            <w:tcW w:w="0" w:type="auto"/>
            <w:hideMark/>
          </w:tcPr>
          <w:p w14:paraId="6F2C3A07" w14:textId="77777777" w:rsidR="008F2FDA" w:rsidRDefault="008F2FDA" w:rsidP="00CD71A3">
            <w:pPr>
              <w:pStyle w:val="NormalWeb"/>
              <w:jc w:val="center"/>
            </w:pPr>
            <w:r>
              <w:t>793</w:t>
            </w:r>
          </w:p>
        </w:tc>
        <w:tc>
          <w:tcPr>
            <w:tcW w:w="2976" w:type="dxa"/>
            <w:hideMark/>
          </w:tcPr>
          <w:p w14:paraId="0EBB1ED3" w14:textId="77777777" w:rsidR="008F2FDA" w:rsidRDefault="008F2FDA" w:rsidP="00CD71A3">
            <w:pPr>
              <w:pStyle w:val="NormalWeb"/>
              <w:jc w:val="center"/>
            </w:pPr>
            <w:r>
              <w:t>215</w:t>
            </w:r>
          </w:p>
        </w:tc>
        <w:tc>
          <w:tcPr>
            <w:tcW w:w="2216" w:type="dxa"/>
            <w:hideMark/>
          </w:tcPr>
          <w:p w14:paraId="3B9A36EE" w14:textId="77777777" w:rsidR="008F2FDA" w:rsidRDefault="008F2FDA" w:rsidP="00CD71A3">
            <w:pPr>
              <w:pStyle w:val="NormalWeb"/>
              <w:jc w:val="center"/>
            </w:pPr>
            <w:r>
              <w:t>1,378</w:t>
            </w:r>
          </w:p>
        </w:tc>
        <w:tc>
          <w:tcPr>
            <w:tcW w:w="2216" w:type="dxa"/>
            <w:hideMark/>
          </w:tcPr>
          <w:p w14:paraId="263A1DBB" w14:textId="77777777" w:rsidR="008F2FDA" w:rsidRDefault="008F2FDA" w:rsidP="00CD71A3">
            <w:pPr>
              <w:pStyle w:val="NormalWeb"/>
              <w:jc w:val="center"/>
            </w:pPr>
            <w:r>
              <w:t>20.6</w:t>
            </w:r>
          </w:p>
        </w:tc>
      </w:tr>
      <w:tr w:rsidR="008F2FDA" w14:paraId="060E8C6B"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6781901" w14:textId="77777777" w:rsidR="008F2FDA" w:rsidRDefault="008F2FDA" w:rsidP="00CD71A3">
            <w:pPr>
              <w:pStyle w:val="NormalWeb"/>
            </w:pPr>
            <w:r>
              <w:t>WA</w:t>
            </w:r>
          </w:p>
        </w:tc>
        <w:tc>
          <w:tcPr>
            <w:tcW w:w="0" w:type="auto"/>
            <w:hideMark/>
          </w:tcPr>
          <w:p w14:paraId="1863F2BD" w14:textId="77777777" w:rsidR="008F2FDA" w:rsidRDefault="008F2FDA" w:rsidP="00CD71A3">
            <w:pPr>
              <w:pStyle w:val="NormalWeb"/>
              <w:jc w:val="center"/>
            </w:pPr>
            <w:r>
              <w:t>0</w:t>
            </w:r>
          </w:p>
        </w:tc>
        <w:tc>
          <w:tcPr>
            <w:tcW w:w="2976" w:type="dxa"/>
            <w:hideMark/>
          </w:tcPr>
          <w:p w14:paraId="4D63F90D" w14:textId="77777777" w:rsidR="008F2FDA" w:rsidRDefault="008F2FDA" w:rsidP="00CD71A3">
            <w:pPr>
              <w:pStyle w:val="NormalWeb"/>
              <w:jc w:val="center"/>
            </w:pPr>
            <w:r>
              <w:t>1</w:t>
            </w:r>
          </w:p>
        </w:tc>
        <w:tc>
          <w:tcPr>
            <w:tcW w:w="2216" w:type="dxa"/>
            <w:hideMark/>
          </w:tcPr>
          <w:p w14:paraId="0F565100" w14:textId="77777777" w:rsidR="008F2FDA" w:rsidRDefault="008F2FDA" w:rsidP="00CD71A3">
            <w:pPr>
              <w:pStyle w:val="NormalWeb"/>
              <w:jc w:val="center"/>
            </w:pPr>
            <w:r>
              <w:t>16</w:t>
            </w:r>
          </w:p>
        </w:tc>
        <w:tc>
          <w:tcPr>
            <w:tcW w:w="2216" w:type="dxa"/>
            <w:hideMark/>
          </w:tcPr>
          <w:p w14:paraId="7D6E2857" w14:textId="77777777" w:rsidR="008F2FDA" w:rsidRDefault="008F2FDA" w:rsidP="00CD71A3">
            <w:pPr>
              <w:pStyle w:val="NormalWeb"/>
              <w:jc w:val="center"/>
            </w:pPr>
            <w:r>
              <w:t>0.6</w:t>
            </w:r>
          </w:p>
        </w:tc>
      </w:tr>
      <w:tr w:rsidR="008F2FDA" w:rsidRPr="00B66200" w14:paraId="7F6B4DA6" w14:textId="77777777" w:rsidTr="00CD71A3">
        <w:tblPrEx>
          <w:tblCellMar>
            <w:top w:w="57" w:type="dxa"/>
            <w:left w:w="57" w:type="dxa"/>
            <w:bottom w:w="57" w:type="dxa"/>
            <w:right w:w="57" w:type="dxa"/>
          </w:tblCellMar>
        </w:tblPrEx>
        <w:tc>
          <w:tcPr>
            <w:tcW w:w="0" w:type="auto"/>
            <w:shd w:val="clear" w:color="auto" w:fill="FDE9D9" w:themeFill="accent6" w:themeFillTint="33"/>
            <w:hideMark/>
          </w:tcPr>
          <w:p w14:paraId="772D8D41" w14:textId="77777777" w:rsidR="008F2FDA" w:rsidRPr="00B66200" w:rsidRDefault="008F2FDA" w:rsidP="00CD71A3">
            <w:pPr>
              <w:pStyle w:val="NormalWeb"/>
              <w:rPr>
                <w:b/>
                <w:bCs/>
              </w:rPr>
            </w:pPr>
            <w:r w:rsidRPr="00B66200">
              <w:rPr>
                <w:b/>
                <w:bCs/>
              </w:rPr>
              <w:t>Australia</w:t>
            </w:r>
          </w:p>
        </w:tc>
        <w:tc>
          <w:tcPr>
            <w:tcW w:w="0" w:type="auto"/>
            <w:shd w:val="clear" w:color="auto" w:fill="FDE9D9" w:themeFill="accent6" w:themeFillTint="33"/>
            <w:hideMark/>
          </w:tcPr>
          <w:p w14:paraId="2990F325" w14:textId="77777777" w:rsidR="008F2FDA" w:rsidRPr="00B66200" w:rsidRDefault="008F2FDA" w:rsidP="00CD71A3">
            <w:pPr>
              <w:pStyle w:val="NormalWeb"/>
              <w:jc w:val="center"/>
              <w:rPr>
                <w:b/>
                <w:bCs/>
              </w:rPr>
            </w:pPr>
            <w:r w:rsidRPr="00B66200">
              <w:rPr>
                <w:b/>
                <w:bCs/>
              </w:rPr>
              <w:t>13,066</w:t>
            </w:r>
          </w:p>
        </w:tc>
        <w:tc>
          <w:tcPr>
            <w:tcW w:w="2976" w:type="dxa"/>
            <w:shd w:val="clear" w:color="auto" w:fill="FDE9D9" w:themeFill="accent6" w:themeFillTint="33"/>
            <w:hideMark/>
          </w:tcPr>
          <w:p w14:paraId="38CCA816" w14:textId="77777777" w:rsidR="008F2FDA" w:rsidRPr="00B66200" w:rsidRDefault="008F2FDA" w:rsidP="00CD71A3">
            <w:pPr>
              <w:pStyle w:val="NormalWeb"/>
              <w:jc w:val="center"/>
              <w:rPr>
                <w:b/>
                <w:bCs/>
              </w:rPr>
            </w:pPr>
            <w:r w:rsidRPr="00B66200">
              <w:rPr>
                <w:b/>
                <w:bCs/>
              </w:rPr>
              <w:t>4,797</w:t>
            </w:r>
          </w:p>
        </w:tc>
        <w:tc>
          <w:tcPr>
            <w:tcW w:w="2216" w:type="dxa"/>
            <w:shd w:val="clear" w:color="auto" w:fill="FDE9D9" w:themeFill="accent6" w:themeFillTint="33"/>
            <w:hideMark/>
          </w:tcPr>
          <w:p w14:paraId="1E591F13" w14:textId="77777777" w:rsidR="008F2FDA" w:rsidRPr="00B66200" w:rsidRDefault="008F2FDA" w:rsidP="00CD71A3">
            <w:pPr>
              <w:pStyle w:val="NormalWeb"/>
              <w:jc w:val="center"/>
              <w:rPr>
                <w:b/>
                <w:bCs/>
              </w:rPr>
            </w:pPr>
            <w:r w:rsidRPr="00B66200">
              <w:rPr>
                <w:b/>
                <w:bCs/>
              </w:rPr>
              <w:t>22,071</w:t>
            </w:r>
          </w:p>
        </w:tc>
        <w:tc>
          <w:tcPr>
            <w:tcW w:w="2216" w:type="dxa"/>
            <w:shd w:val="clear" w:color="auto" w:fill="FDE9D9" w:themeFill="accent6" w:themeFillTint="33"/>
            <w:hideMark/>
          </w:tcPr>
          <w:p w14:paraId="5C09CF87" w14:textId="77777777" w:rsidR="008F2FDA" w:rsidRPr="00B66200" w:rsidRDefault="008F2FDA" w:rsidP="00CD71A3">
            <w:pPr>
              <w:pStyle w:val="NormalWeb"/>
              <w:jc w:val="center"/>
              <w:rPr>
                <w:b/>
                <w:bCs/>
              </w:rPr>
            </w:pPr>
            <w:r w:rsidRPr="00B66200">
              <w:rPr>
                <w:b/>
                <w:bCs/>
              </w:rPr>
              <w:t>85.9</w:t>
            </w:r>
          </w:p>
        </w:tc>
      </w:tr>
    </w:tbl>
    <w:p w14:paraId="528ED0D1" w14:textId="77777777" w:rsidR="008F2FDA" w:rsidRDefault="008F2FDA" w:rsidP="008F2FDA">
      <w:pPr>
        <w:pStyle w:val="CDIfootnotes"/>
        <w:rPr>
          <w:lang w:val="en-GB"/>
        </w:rPr>
      </w:pPr>
      <w:r>
        <w:rPr>
          <w:lang w:val="en-GB"/>
        </w:rPr>
        <w:t>a</w:t>
      </w:r>
      <w:r>
        <w:rPr>
          <w:lang w:val="en-GB"/>
        </w:rPr>
        <w:tab/>
        <w:t>Source: NINDSS, data extract from 31 August 2021 for notifications to 29 August 2021.</w:t>
      </w:r>
    </w:p>
    <w:p w14:paraId="4BEDB0FA" w14:textId="77777777" w:rsidR="008F2FDA" w:rsidRDefault="008F2FDA" w:rsidP="008F2FDA">
      <w:pPr>
        <w:pStyle w:val="CDIfootnotes"/>
        <w:rPr>
          <w:lang w:val="en-GB"/>
        </w:rPr>
      </w:pPr>
      <w:r>
        <w:rPr>
          <w:lang w:val="en-GB"/>
        </w:rPr>
        <w:t>b</w:t>
      </w:r>
      <w:r>
        <w:rPr>
          <w:lang w:val="en-GB"/>
        </w:rPr>
        <w:tab/>
        <w:t>This total does not include cases that are under initial investigation.</w:t>
      </w:r>
    </w:p>
    <w:p w14:paraId="358A9F8A" w14:textId="44003073" w:rsidR="008F2FDA" w:rsidRPr="008F2FDA" w:rsidRDefault="008F2FDA" w:rsidP="008F2FDA">
      <w:pPr>
        <w:pStyle w:val="CDIfootnotes"/>
        <w:rPr>
          <w:lang w:val="en-GB"/>
        </w:rPr>
      </w:pPr>
      <w:r>
        <w:rPr>
          <w:lang w:val="en-GB"/>
        </w:rPr>
        <w:t>c</w:t>
      </w:r>
      <w:r>
        <w:rPr>
          <w:lang w:val="en-GB"/>
        </w:rPr>
        <w:tab/>
        <w:t>Population data based on Australian Bureau of Statistics (ABS) Estimated Resident Population (ERP) as at June 2020.</w:t>
      </w:r>
    </w:p>
    <w:p w14:paraId="0E991145" w14:textId="77777777" w:rsidR="00A32CF3" w:rsidRDefault="00A32CF3" w:rsidP="007220A8">
      <w:r>
        <w:t xml:space="preserve">In the reporting period, New South Wales reported the largest number of cases (41%; 35/85) that were overseas acquired, followed by Western Australia (29%; 25/85) and Queensland (19%; 16/85). In the past 28 days (2 to 29 August 2021), 49% (65/134) of overseas-acquired cases reported an unknown country of acquisition. Cases acquired </w:t>
      </w:r>
      <w:r>
        <w:lastRenderedPageBreak/>
        <w:t xml:space="preserve">at sea (58%; 40/69) were the most frequent of those with an identified country of acquisition in the past 28 days, followed by cases from the Philippines (9%; 6/69) and Sri Lanka (6%; 4/69). The number of cases acquired in different countries is influenced by travel patterns of returning Australians, travel restrictions, and the prevalence of COVID-19 in the country of travel. </w:t>
      </w:r>
    </w:p>
    <w:p w14:paraId="0FF35632" w14:textId="77777777" w:rsidR="008F2FDA" w:rsidRPr="008E62F4" w:rsidRDefault="008F2FDA" w:rsidP="008F2FDA">
      <w:pPr>
        <w:pStyle w:val="CDIFigures"/>
      </w:pPr>
      <w:r w:rsidRPr="008E62F4">
        <w:rPr>
          <w:rStyle w:val="Strong"/>
          <w:b/>
          <w:bCs w:val="0"/>
        </w:rPr>
        <w:t xml:space="preserve">Table 3: Days since last </w:t>
      </w:r>
      <w:proofErr w:type="gramStart"/>
      <w:r w:rsidRPr="008E62F4">
        <w:rPr>
          <w:rStyle w:val="Strong"/>
          <w:b/>
          <w:bCs w:val="0"/>
        </w:rPr>
        <w:t>locally-acquired</w:t>
      </w:r>
      <w:proofErr w:type="gramEnd"/>
      <w:r w:rsidRPr="008E62F4">
        <w:rPr>
          <w:rStyle w:val="Strong"/>
          <w:b/>
          <w:bCs w:val="0"/>
        </w:rPr>
        <w:t xml:space="preserve"> COVID-19 case (source unknown and source known), by jurisdiction and diagnosis date, 29 August 2021</w:t>
      </w:r>
      <w:r w:rsidRPr="008E62F4">
        <w:rPr>
          <w:rStyle w:val="Strong"/>
          <w:b/>
          <w:bCs w:val="0"/>
          <w:vertAlign w:val="superscript"/>
        </w:rPr>
        <w:t>a</w:t>
      </w:r>
    </w:p>
    <w:tbl>
      <w:tblPr>
        <w:tblStyle w:val="CDI-StandardTable"/>
        <w:tblW w:w="0" w:type="auto"/>
        <w:tblLook w:val="04A0" w:firstRow="1" w:lastRow="0" w:firstColumn="1" w:lastColumn="0" w:noHBand="0" w:noVBand="1"/>
        <w:tblDescription w:val="Table 3 shows the number of days elapsed since the last locally-acquired COVID-19 case with known source, and with unknown source, by jurisdiction. As at the end of the current reporting period, it had been zero days since the most recently-notified locally-acquired case of unknown source, in New South Wales, with the Australian Capital Territory (2 days since most recent locally-acquired case of unknown source), Victoria (3 days) and Queensland (23 days) also reporting such cases in the year to date. As of 29 August 2021, it had been zero days also since the most recent locally-acquired case with source known (in both New South Wales and Victoria); other jurisdictions reporting locally-acquired cases of known source since the start of the year were the Australian Capital Territory (1 day since most recent locally-acquired case of known source), Queensland (2 days), South Australia (26 days), Western Australia (27 days) and the Northern Territory (54 days). It has been more than one year since Tasmania last recorded a locally-acquired case with known source, true also for locally-acquired cases of unknown source in the Northern Territory, South Australia, Tasmania and Western Australia.&#10;"/>
      </w:tblPr>
      <w:tblGrid>
        <w:gridCol w:w="1282"/>
        <w:gridCol w:w="2238"/>
        <w:gridCol w:w="2104"/>
        <w:gridCol w:w="2244"/>
        <w:gridCol w:w="2598"/>
      </w:tblGrid>
      <w:tr w:rsidR="008F2FDA" w:rsidRPr="00B66200" w14:paraId="102EFFFD" w14:textId="77777777" w:rsidTr="00CD71A3">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053E787D" w14:textId="77777777" w:rsidR="008F2FDA" w:rsidRPr="00B66200" w:rsidRDefault="008F2FDA" w:rsidP="00CD71A3">
            <w:pPr>
              <w:pStyle w:val="NormalWeb"/>
              <w:rPr>
                <w:color w:val="FFFFFF" w:themeColor="background1"/>
              </w:rPr>
            </w:pPr>
            <w:r w:rsidRPr="00B66200">
              <w:rPr>
                <w:color w:val="FFFFFF" w:themeColor="background1"/>
              </w:rPr>
              <w:t>Jurisdiction</w:t>
            </w:r>
          </w:p>
        </w:tc>
        <w:tc>
          <w:tcPr>
            <w:tcW w:w="4388" w:type="dxa"/>
            <w:gridSpan w:val="2"/>
            <w:tcBorders>
              <w:left w:val="single" w:sz="2" w:space="0" w:color="FFFFFF" w:themeColor="background1"/>
              <w:bottom w:val="single" w:sz="2" w:space="0" w:color="FFFFFF" w:themeColor="background1"/>
              <w:right w:val="single" w:sz="2" w:space="0" w:color="FFFFFF" w:themeColor="background1"/>
            </w:tcBorders>
            <w:hideMark/>
          </w:tcPr>
          <w:p w14:paraId="48A0F47E" w14:textId="77777777" w:rsidR="008F2FDA" w:rsidRPr="00B66200" w:rsidRDefault="008F2FDA" w:rsidP="00CD71A3">
            <w:pPr>
              <w:pStyle w:val="NormalWeb"/>
              <w:jc w:val="center"/>
              <w:rPr>
                <w:color w:val="FFFFFF" w:themeColor="background1"/>
              </w:rPr>
            </w:pPr>
            <w:r w:rsidRPr="00B66200">
              <w:rPr>
                <w:color w:val="FFFFFF" w:themeColor="background1"/>
              </w:rPr>
              <w:t xml:space="preserve">Locally acquired — source </w:t>
            </w:r>
            <w:proofErr w:type="spellStart"/>
            <w:r w:rsidRPr="00B66200">
              <w:rPr>
                <w:color w:val="FFFFFF" w:themeColor="background1"/>
              </w:rPr>
              <w:t>unknown</w:t>
            </w:r>
            <w:r w:rsidRPr="00DD5B72">
              <w:rPr>
                <w:color w:val="FFFFFF" w:themeColor="background1"/>
                <w:vertAlign w:val="superscript"/>
              </w:rPr>
              <w:t>b</w:t>
            </w:r>
            <w:proofErr w:type="spellEnd"/>
          </w:p>
        </w:tc>
        <w:tc>
          <w:tcPr>
            <w:tcW w:w="4896" w:type="dxa"/>
            <w:gridSpan w:val="2"/>
            <w:tcBorders>
              <w:left w:val="single" w:sz="2" w:space="0" w:color="FFFFFF" w:themeColor="background1"/>
              <w:bottom w:val="single" w:sz="2" w:space="0" w:color="FFFFFF" w:themeColor="background1"/>
            </w:tcBorders>
            <w:hideMark/>
          </w:tcPr>
          <w:p w14:paraId="61D053E2" w14:textId="77777777" w:rsidR="008F2FDA" w:rsidRPr="00B66200" w:rsidRDefault="008F2FDA" w:rsidP="00CD71A3">
            <w:pPr>
              <w:pStyle w:val="NormalWeb"/>
              <w:jc w:val="center"/>
              <w:rPr>
                <w:color w:val="FFFFFF" w:themeColor="background1"/>
              </w:rPr>
            </w:pPr>
            <w:r w:rsidRPr="00B66200">
              <w:rPr>
                <w:color w:val="FFFFFF" w:themeColor="background1"/>
              </w:rPr>
              <w:t xml:space="preserve">Locally acquired — source </w:t>
            </w:r>
            <w:proofErr w:type="spellStart"/>
            <w:r w:rsidRPr="00B66200">
              <w:rPr>
                <w:color w:val="FFFFFF" w:themeColor="background1"/>
              </w:rPr>
              <w:t>known</w:t>
            </w:r>
            <w:r w:rsidRPr="00DD5B72">
              <w:rPr>
                <w:color w:val="FFFFFF" w:themeColor="background1"/>
                <w:vertAlign w:val="superscript"/>
              </w:rPr>
              <w:t>b</w:t>
            </w:r>
            <w:proofErr w:type="spellEnd"/>
          </w:p>
        </w:tc>
      </w:tr>
      <w:tr w:rsidR="008F2FDA" w:rsidRPr="00B66200" w14:paraId="421750AE" w14:textId="77777777" w:rsidTr="00CD71A3">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761F3C30" w14:textId="77777777" w:rsidR="008F2FDA" w:rsidRPr="00B66200" w:rsidRDefault="008F2FDA" w:rsidP="00CD71A3">
            <w:pPr>
              <w:rPr>
                <w:color w:val="FFFFFF" w:themeColor="background1"/>
                <w:sz w:val="24"/>
                <w:szCs w:val="24"/>
              </w:rPr>
            </w:pPr>
          </w:p>
        </w:tc>
        <w:tc>
          <w:tcPr>
            <w:tcW w:w="2262" w:type="dxa"/>
            <w:tcBorders>
              <w:top w:val="single" w:sz="2" w:space="0" w:color="FFFFFF" w:themeColor="background1"/>
              <w:left w:val="single" w:sz="2" w:space="0" w:color="FFFFFF" w:themeColor="background1"/>
              <w:right w:val="single" w:sz="2" w:space="0" w:color="FFFFFF" w:themeColor="background1"/>
            </w:tcBorders>
            <w:hideMark/>
          </w:tcPr>
          <w:p w14:paraId="2754EEE1" w14:textId="77777777" w:rsidR="008F2FDA" w:rsidRPr="00B66200" w:rsidRDefault="008F2FDA" w:rsidP="00CD71A3">
            <w:pPr>
              <w:pStyle w:val="NormalWeb"/>
              <w:jc w:val="center"/>
              <w:rPr>
                <w:color w:val="FFFFFF" w:themeColor="background1"/>
              </w:rPr>
            </w:pPr>
            <w:r w:rsidRPr="00B66200">
              <w:rPr>
                <w:color w:val="FFFFFF" w:themeColor="background1"/>
              </w:rPr>
              <w:t>Date of last case</w:t>
            </w:r>
          </w:p>
        </w:tc>
        <w:tc>
          <w:tcPr>
            <w:tcW w:w="2126" w:type="dxa"/>
            <w:tcBorders>
              <w:top w:val="single" w:sz="2" w:space="0" w:color="FFFFFF" w:themeColor="background1"/>
              <w:left w:val="single" w:sz="2" w:space="0" w:color="FFFFFF" w:themeColor="background1"/>
              <w:right w:val="single" w:sz="2" w:space="0" w:color="FFFFFF" w:themeColor="background1"/>
            </w:tcBorders>
            <w:hideMark/>
          </w:tcPr>
          <w:p w14:paraId="005D07E2" w14:textId="77777777" w:rsidR="008F2FDA" w:rsidRPr="00B66200" w:rsidRDefault="008F2FDA" w:rsidP="00CD71A3">
            <w:pPr>
              <w:pStyle w:val="NormalWeb"/>
              <w:jc w:val="center"/>
              <w:rPr>
                <w:color w:val="FFFFFF" w:themeColor="background1"/>
              </w:rPr>
            </w:pPr>
            <w:r w:rsidRPr="00B66200">
              <w:rPr>
                <w:color w:val="FFFFFF" w:themeColor="background1"/>
              </w:rPr>
              <w:t>Days since last case</w:t>
            </w:r>
          </w:p>
        </w:tc>
        <w:tc>
          <w:tcPr>
            <w:tcW w:w="2268" w:type="dxa"/>
            <w:tcBorders>
              <w:top w:val="single" w:sz="2" w:space="0" w:color="FFFFFF" w:themeColor="background1"/>
              <w:left w:val="single" w:sz="2" w:space="0" w:color="FFFFFF" w:themeColor="background1"/>
              <w:right w:val="single" w:sz="2" w:space="0" w:color="FFFFFF" w:themeColor="background1"/>
            </w:tcBorders>
            <w:hideMark/>
          </w:tcPr>
          <w:p w14:paraId="0C0409EC" w14:textId="77777777" w:rsidR="008F2FDA" w:rsidRPr="00B66200" w:rsidRDefault="008F2FDA" w:rsidP="00CD71A3">
            <w:pPr>
              <w:pStyle w:val="NormalWeb"/>
              <w:jc w:val="center"/>
              <w:rPr>
                <w:color w:val="FFFFFF" w:themeColor="background1"/>
              </w:rPr>
            </w:pPr>
            <w:r w:rsidRPr="00B66200">
              <w:rPr>
                <w:color w:val="FFFFFF" w:themeColor="background1"/>
              </w:rPr>
              <w:t>Date of last case</w:t>
            </w:r>
          </w:p>
        </w:tc>
        <w:tc>
          <w:tcPr>
            <w:tcW w:w="2628" w:type="dxa"/>
            <w:tcBorders>
              <w:top w:val="single" w:sz="2" w:space="0" w:color="FFFFFF" w:themeColor="background1"/>
              <w:left w:val="single" w:sz="2" w:space="0" w:color="FFFFFF" w:themeColor="background1"/>
            </w:tcBorders>
            <w:hideMark/>
          </w:tcPr>
          <w:p w14:paraId="11FD6BA5" w14:textId="77777777" w:rsidR="008F2FDA" w:rsidRPr="00B66200" w:rsidRDefault="008F2FDA" w:rsidP="00CD71A3">
            <w:pPr>
              <w:pStyle w:val="NormalWeb"/>
              <w:jc w:val="center"/>
              <w:rPr>
                <w:color w:val="FFFFFF" w:themeColor="background1"/>
              </w:rPr>
            </w:pPr>
            <w:r w:rsidRPr="00B66200">
              <w:rPr>
                <w:color w:val="FFFFFF" w:themeColor="background1"/>
              </w:rPr>
              <w:t>Days since last case</w:t>
            </w:r>
          </w:p>
        </w:tc>
      </w:tr>
      <w:tr w:rsidR="008F2FDA" w14:paraId="43BFFC3C" w14:textId="77777777" w:rsidTr="00CD71A3">
        <w:tblPrEx>
          <w:tblCellMar>
            <w:top w:w="57" w:type="dxa"/>
            <w:left w:w="57" w:type="dxa"/>
            <w:bottom w:w="57" w:type="dxa"/>
            <w:right w:w="57" w:type="dxa"/>
          </w:tblCellMar>
        </w:tblPrEx>
        <w:tc>
          <w:tcPr>
            <w:tcW w:w="0" w:type="auto"/>
            <w:hideMark/>
          </w:tcPr>
          <w:p w14:paraId="137EF333" w14:textId="77777777" w:rsidR="008F2FDA" w:rsidRDefault="008F2FDA" w:rsidP="00CD71A3">
            <w:pPr>
              <w:pStyle w:val="NormalWeb"/>
            </w:pPr>
            <w:r>
              <w:t>ACT</w:t>
            </w:r>
          </w:p>
        </w:tc>
        <w:tc>
          <w:tcPr>
            <w:tcW w:w="2262" w:type="dxa"/>
            <w:hideMark/>
          </w:tcPr>
          <w:p w14:paraId="0844AE5E" w14:textId="77777777" w:rsidR="008F2FDA" w:rsidRDefault="008F2FDA" w:rsidP="00CD71A3">
            <w:pPr>
              <w:pStyle w:val="NormalWeb"/>
              <w:jc w:val="center"/>
            </w:pPr>
            <w:r>
              <w:t>27 August 2021</w:t>
            </w:r>
          </w:p>
        </w:tc>
        <w:tc>
          <w:tcPr>
            <w:tcW w:w="2126" w:type="dxa"/>
            <w:hideMark/>
          </w:tcPr>
          <w:p w14:paraId="4DE20086" w14:textId="77777777" w:rsidR="008F2FDA" w:rsidRDefault="008F2FDA" w:rsidP="00CD71A3">
            <w:pPr>
              <w:pStyle w:val="NormalWeb"/>
              <w:jc w:val="center"/>
            </w:pPr>
            <w:r>
              <w:t>2</w:t>
            </w:r>
          </w:p>
        </w:tc>
        <w:tc>
          <w:tcPr>
            <w:tcW w:w="2268" w:type="dxa"/>
            <w:hideMark/>
          </w:tcPr>
          <w:p w14:paraId="723AED3E" w14:textId="77777777" w:rsidR="008F2FDA" w:rsidRDefault="008F2FDA" w:rsidP="00CD71A3">
            <w:pPr>
              <w:pStyle w:val="NormalWeb"/>
              <w:jc w:val="center"/>
            </w:pPr>
            <w:r>
              <w:t>28 August 2021</w:t>
            </w:r>
          </w:p>
        </w:tc>
        <w:tc>
          <w:tcPr>
            <w:tcW w:w="2628" w:type="dxa"/>
            <w:hideMark/>
          </w:tcPr>
          <w:p w14:paraId="59AC5830" w14:textId="77777777" w:rsidR="008F2FDA" w:rsidRDefault="008F2FDA" w:rsidP="00CD71A3">
            <w:pPr>
              <w:pStyle w:val="NormalWeb"/>
              <w:jc w:val="center"/>
            </w:pPr>
            <w:r>
              <w:t>1</w:t>
            </w:r>
          </w:p>
        </w:tc>
      </w:tr>
      <w:tr w:rsidR="008F2FDA" w14:paraId="62845B9B"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373C589F" w14:textId="77777777" w:rsidR="008F2FDA" w:rsidRDefault="008F2FDA" w:rsidP="00CD71A3">
            <w:pPr>
              <w:pStyle w:val="NormalWeb"/>
            </w:pPr>
            <w:r>
              <w:t>NSW</w:t>
            </w:r>
          </w:p>
        </w:tc>
        <w:tc>
          <w:tcPr>
            <w:tcW w:w="2262" w:type="dxa"/>
            <w:hideMark/>
          </w:tcPr>
          <w:p w14:paraId="2120A8E6" w14:textId="77777777" w:rsidR="008F2FDA" w:rsidRDefault="008F2FDA" w:rsidP="00CD71A3">
            <w:pPr>
              <w:pStyle w:val="NormalWeb"/>
              <w:jc w:val="center"/>
            </w:pPr>
            <w:r>
              <w:t>29 August 2021</w:t>
            </w:r>
          </w:p>
        </w:tc>
        <w:tc>
          <w:tcPr>
            <w:tcW w:w="2126" w:type="dxa"/>
            <w:hideMark/>
          </w:tcPr>
          <w:p w14:paraId="7CFC50EC" w14:textId="77777777" w:rsidR="008F2FDA" w:rsidRDefault="008F2FDA" w:rsidP="00CD71A3">
            <w:pPr>
              <w:pStyle w:val="NormalWeb"/>
              <w:jc w:val="center"/>
            </w:pPr>
            <w:r>
              <w:t>0</w:t>
            </w:r>
          </w:p>
        </w:tc>
        <w:tc>
          <w:tcPr>
            <w:tcW w:w="2268" w:type="dxa"/>
            <w:hideMark/>
          </w:tcPr>
          <w:p w14:paraId="76B977F9" w14:textId="77777777" w:rsidR="008F2FDA" w:rsidRDefault="008F2FDA" w:rsidP="00CD71A3">
            <w:pPr>
              <w:pStyle w:val="NormalWeb"/>
              <w:jc w:val="center"/>
            </w:pPr>
            <w:r>
              <w:t>29 August 2021</w:t>
            </w:r>
          </w:p>
        </w:tc>
        <w:tc>
          <w:tcPr>
            <w:tcW w:w="2628" w:type="dxa"/>
            <w:hideMark/>
          </w:tcPr>
          <w:p w14:paraId="443C909B" w14:textId="77777777" w:rsidR="008F2FDA" w:rsidRDefault="008F2FDA" w:rsidP="00CD71A3">
            <w:pPr>
              <w:pStyle w:val="NormalWeb"/>
              <w:jc w:val="center"/>
            </w:pPr>
            <w:r>
              <w:t>0</w:t>
            </w:r>
          </w:p>
        </w:tc>
      </w:tr>
      <w:tr w:rsidR="008F2FDA" w14:paraId="5CA01E59" w14:textId="77777777" w:rsidTr="00CD71A3">
        <w:tblPrEx>
          <w:tblCellMar>
            <w:top w:w="57" w:type="dxa"/>
            <w:left w:w="57" w:type="dxa"/>
            <w:bottom w:w="57" w:type="dxa"/>
            <w:right w:w="57" w:type="dxa"/>
          </w:tblCellMar>
        </w:tblPrEx>
        <w:tc>
          <w:tcPr>
            <w:tcW w:w="0" w:type="auto"/>
            <w:hideMark/>
          </w:tcPr>
          <w:p w14:paraId="0ABB2639" w14:textId="77777777" w:rsidR="008F2FDA" w:rsidRDefault="008F2FDA" w:rsidP="00CD71A3">
            <w:pPr>
              <w:pStyle w:val="NormalWeb"/>
            </w:pPr>
            <w:r>
              <w:t>NT</w:t>
            </w:r>
          </w:p>
        </w:tc>
        <w:tc>
          <w:tcPr>
            <w:tcW w:w="2262" w:type="dxa"/>
            <w:hideMark/>
          </w:tcPr>
          <w:p w14:paraId="48B6152D" w14:textId="77777777" w:rsidR="008F2FDA" w:rsidRDefault="008F2FDA" w:rsidP="00CD71A3">
            <w:pPr>
              <w:pStyle w:val="NormalWeb"/>
              <w:jc w:val="center"/>
            </w:pPr>
            <w:proofErr w:type="spellStart"/>
            <w:r>
              <w:t>NA</w:t>
            </w:r>
            <w:r w:rsidRPr="00DD5B72">
              <w:rPr>
                <w:vertAlign w:val="superscript"/>
              </w:rPr>
              <w:t>c</w:t>
            </w:r>
            <w:proofErr w:type="spellEnd"/>
          </w:p>
        </w:tc>
        <w:tc>
          <w:tcPr>
            <w:tcW w:w="2126" w:type="dxa"/>
            <w:hideMark/>
          </w:tcPr>
          <w:p w14:paraId="0C57293B" w14:textId="77777777" w:rsidR="008F2FDA" w:rsidRDefault="008F2FDA" w:rsidP="00CD71A3">
            <w:pPr>
              <w:pStyle w:val="NormalWeb"/>
              <w:jc w:val="center"/>
            </w:pPr>
            <w:proofErr w:type="spellStart"/>
            <w:r>
              <w:t>NA</w:t>
            </w:r>
            <w:r w:rsidRPr="00DD5B72">
              <w:rPr>
                <w:vertAlign w:val="superscript"/>
              </w:rPr>
              <w:t>c</w:t>
            </w:r>
            <w:proofErr w:type="spellEnd"/>
          </w:p>
        </w:tc>
        <w:tc>
          <w:tcPr>
            <w:tcW w:w="2268" w:type="dxa"/>
            <w:hideMark/>
          </w:tcPr>
          <w:p w14:paraId="06D573A9" w14:textId="77777777" w:rsidR="008F2FDA" w:rsidRDefault="008F2FDA" w:rsidP="00CD71A3">
            <w:pPr>
              <w:pStyle w:val="NormalWeb"/>
              <w:jc w:val="center"/>
            </w:pPr>
            <w:r>
              <w:t>6 July 2021</w:t>
            </w:r>
          </w:p>
        </w:tc>
        <w:tc>
          <w:tcPr>
            <w:tcW w:w="2628" w:type="dxa"/>
            <w:hideMark/>
          </w:tcPr>
          <w:p w14:paraId="45C2C8DA" w14:textId="77777777" w:rsidR="008F2FDA" w:rsidRDefault="008F2FDA" w:rsidP="00CD71A3">
            <w:pPr>
              <w:pStyle w:val="NormalWeb"/>
              <w:jc w:val="center"/>
            </w:pPr>
            <w:r>
              <w:t>54</w:t>
            </w:r>
          </w:p>
        </w:tc>
      </w:tr>
      <w:tr w:rsidR="008F2FDA" w14:paraId="31D89FDA"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5B91D4B" w14:textId="77777777" w:rsidR="008F2FDA" w:rsidRDefault="008F2FDA" w:rsidP="00CD71A3">
            <w:pPr>
              <w:pStyle w:val="NormalWeb"/>
            </w:pPr>
            <w:r>
              <w:t>Qld</w:t>
            </w:r>
          </w:p>
        </w:tc>
        <w:tc>
          <w:tcPr>
            <w:tcW w:w="2262" w:type="dxa"/>
            <w:hideMark/>
          </w:tcPr>
          <w:p w14:paraId="29A57B5F" w14:textId="77777777" w:rsidR="008F2FDA" w:rsidRDefault="008F2FDA" w:rsidP="00CD71A3">
            <w:pPr>
              <w:pStyle w:val="NormalWeb"/>
              <w:jc w:val="center"/>
            </w:pPr>
            <w:r>
              <w:t>6 August 2021</w:t>
            </w:r>
          </w:p>
        </w:tc>
        <w:tc>
          <w:tcPr>
            <w:tcW w:w="2126" w:type="dxa"/>
            <w:hideMark/>
          </w:tcPr>
          <w:p w14:paraId="4C7ABD09" w14:textId="77777777" w:rsidR="008F2FDA" w:rsidRDefault="008F2FDA" w:rsidP="00CD71A3">
            <w:pPr>
              <w:pStyle w:val="NormalWeb"/>
              <w:jc w:val="center"/>
            </w:pPr>
            <w:r>
              <w:t>23</w:t>
            </w:r>
          </w:p>
        </w:tc>
        <w:tc>
          <w:tcPr>
            <w:tcW w:w="2268" w:type="dxa"/>
            <w:hideMark/>
          </w:tcPr>
          <w:p w14:paraId="1BB2CDBA" w14:textId="77777777" w:rsidR="008F2FDA" w:rsidRDefault="008F2FDA" w:rsidP="00CD71A3">
            <w:pPr>
              <w:pStyle w:val="NormalWeb"/>
              <w:jc w:val="center"/>
            </w:pPr>
            <w:r>
              <w:t>27 August 2021</w:t>
            </w:r>
          </w:p>
        </w:tc>
        <w:tc>
          <w:tcPr>
            <w:tcW w:w="2628" w:type="dxa"/>
            <w:hideMark/>
          </w:tcPr>
          <w:p w14:paraId="358B08AD" w14:textId="77777777" w:rsidR="008F2FDA" w:rsidRDefault="008F2FDA" w:rsidP="00CD71A3">
            <w:pPr>
              <w:pStyle w:val="NormalWeb"/>
              <w:jc w:val="center"/>
            </w:pPr>
            <w:r>
              <w:t>2</w:t>
            </w:r>
          </w:p>
        </w:tc>
      </w:tr>
      <w:tr w:rsidR="008F2FDA" w14:paraId="43DB4CA2" w14:textId="77777777" w:rsidTr="00CD71A3">
        <w:tblPrEx>
          <w:tblCellMar>
            <w:top w:w="57" w:type="dxa"/>
            <w:left w:w="57" w:type="dxa"/>
            <w:bottom w:w="57" w:type="dxa"/>
            <w:right w:w="57" w:type="dxa"/>
          </w:tblCellMar>
        </w:tblPrEx>
        <w:tc>
          <w:tcPr>
            <w:tcW w:w="0" w:type="auto"/>
            <w:hideMark/>
          </w:tcPr>
          <w:p w14:paraId="5E794137" w14:textId="77777777" w:rsidR="008F2FDA" w:rsidRDefault="008F2FDA" w:rsidP="00CD71A3">
            <w:pPr>
              <w:pStyle w:val="NormalWeb"/>
            </w:pPr>
            <w:r>
              <w:t>SA</w:t>
            </w:r>
          </w:p>
        </w:tc>
        <w:tc>
          <w:tcPr>
            <w:tcW w:w="2262" w:type="dxa"/>
            <w:hideMark/>
          </w:tcPr>
          <w:p w14:paraId="6CC7BEB5" w14:textId="77777777" w:rsidR="008F2FDA" w:rsidRDefault="008F2FDA" w:rsidP="00CD71A3">
            <w:pPr>
              <w:pStyle w:val="NormalWeb"/>
              <w:jc w:val="center"/>
            </w:pPr>
            <w:r>
              <w:t>24 March 2020</w:t>
            </w:r>
          </w:p>
        </w:tc>
        <w:tc>
          <w:tcPr>
            <w:tcW w:w="2126" w:type="dxa"/>
            <w:hideMark/>
          </w:tcPr>
          <w:p w14:paraId="45EC1CE4" w14:textId="77777777" w:rsidR="008F2FDA" w:rsidRDefault="008F2FDA" w:rsidP="00CD71A3">
            <w:pPr>
              <w:pStyle w:val="NormalWeb"/>
              <w:jc w:val="center"/>
            </w:pPr>
            <w:r>
              <w:t>523</w:t>
            </w:r>
          </w:p>
        </w:tc>
        <w:tc>
          <w:tcPr>
            <w:tcW w:w="2268" w:type="dxa"/>
            <w:hideMark/>
          </w:tcPr>
          <w:p w14:paraId="0E1D297A" w14:textId="77777777" w:rsidR="008F2FDA" w:rsidRDefault="008F2FDA" w:rsidP="00CD71A3">
            <w:pPr>
              <w:pStyle w:val="NormalWeb"/>
              <w:jc w:val="center"/>
            </w:pPr>
            <w:r>
              <w:t>3 August 2021</w:t>
            </w:r>
          </w:p>
        </w:tc>
        <w:tc>
          <w:tcPr>
            <w:tcW w:w="2628" w:type="dxa"/>
            <w:hideMark/>
          </w:tcPr>
          <w:p w14:paraId="0FCCEE36" w14:textId="77777777" w:rsidR="008F2FDA" w:rsidRDefault="008F2FDA" w:rsidP="00CD71A3">
            <w:pPr>
              <w:pStyle w:val="NormalWeb"/>
              <w:jc w:val="center"/>
            </w:pPr>
            <w:r>
              <w:t>26</w:t>
            </w:r>
          </w:p>
        </w:tc>
      </w:tr>
      <w:tr w:rsidR="008F2FDA" w14:paraId="6D137B6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4F17B379" w14:textId="77777777" w:rsidR="008F2FDA" w:rsidRDefault="008F2FDA" w:rsidP="00CD71A3">
            <w:pPr>
              <w:pStyle w:val="NormalWeb"/>
            </w:pPr>
            <w:r>
              <w:t>Tas.</w:t>
            </w:r>
          </w:p>
        </w:tc>
        <w:tc>
          <w:tcPr>
            <w:tcW w:w="2262" w:type="dxa"/>
            <w:hideMark/>
          </w:tcPr>
          <w:p w14:paraId="5B4D13E1" w14:textId="77777777" w:rsidR="008F2FDA" w:rsidRDefault="008F2FDA" w:rsidP="00CD71A3">
            <w:pPr>
              <w:pStyle w:val="NormalWeb"/>
              <w:jc w:val="center"/>
            </w:pPr>
            <w:r>
              <w:t>9 August 2020</w:t>
            </w:r>
          </w:p>
        </w:tc>
        <w:tc>
          <w:tcPr>
            <w:tcW w:w="2126" w:type="dxa"/>
            <w:hideMark/>
          </w:tcPr>
          <w:p w14:paraId="3700804C" w14:textId="77777777" w:rsidR="008F2FDA" w:rsidRDefault="008F2FDA" w:rsidP="00CD71A3">
            <w:pPr>
              <w:pStyle w:val="NormalWeb"/>
              <w:jc w:val="center"/>
            </w:pPr>
            <w:r>
              <w:t>385</w:t>
            </w:r>
          </w:p>
        </w:tc>
        <w:tc>
          <w:tcPr>
            <w:tcW w:w="2268" w:type="dxa"/>
            <w:hideMark/>
          </w:tcPr>
          <w:p w14:paraId="2946AA1E" w14:textId="77777777" w:rsidR="008F2FDA" w:rsidRDefault="008F2FDA" w:rsidP="00CD71A3">
            <w:pPr>
              <w:pStyle w:val="NormalWeb"/>
              <w:jc w:val="center"/>
            </w:pPr>
            <w:r>
              <w:t>24 April 2020</w:t>
            </w:r>
          </w:p>
        </w:tc>
        <w:tc>
          <w:tcPr>
            <w:tcW w:w="2628" w:type="dxa"/>
            <w:hideMark/>
          </w:tcPr>
          <w:p w14:paraId="16F917D1" w14:textId="77777777" w:rsidR="008F2FDA" w:rsidRDefault="008F2FDA" w:rsidP="00CD71A3">
            <w:pPr>
              <w:pStyle w:val="NormalWeb"/>
              <w:jc w:val="center"/>
            </w:pPr>
            <w:r>
              <w:t>492</w:t>
            </w:r>
          </w:p>
        </w:tc>
      </w:tr>
      <w:tr w:rsidR="008F2FDA" w14:paraId="5CFE08A5" w14:textId="77777777" w:rsidTr="00CD71A3">
        <w:tblPrEx>
          <w:tblCellMar>
            <w:top w:w="57" w:type="dxa"/>
            <w:left w:w="57" w:type="dxa"/>
            <w:bottom w:w="57" w:type="dxa"/>
            <w:right w:w="57" w:type="dxa"/>
          </w:tblCellMar>
        </w:tblPrEx>
        <w:tc>
          <w:tcPr>
            <w:tcW w:w="0" w:type="auto"/>
            <w:hideMark/>
          </w:tcPr>
          <w:p w14:paraId="1F70F289" w14:textId="77777777" w:rsidR="008F2FDA" w:rsidRDefault="008F2FDA" w:rsidP="00CD71A3">
            <w:pPr>
              <w:pStyle w:val="NormalWeb"/>
            </w:pPr>
            <w:r>
              <w:t>Vic.</w:t>
            </w:r>
          </w:p>
        </w:tc>
        <w:tc>
          <w:tcPr>
            <w:tcW w:w="2262" w:type="dxa"/>
            <w:hideMark/>
          </w:tcPr>
          <w:p w14:paraId="4B153188" w14:textId="77777777" w:rsidR="008F2FDA" w:rsidRDefault="008F2FDA" w:rsidP="00CD71A3">
            <w:pPr>
              <w:pStyle w:val="NormalWeb"/>
              <w:jc w:val="center"/>
            </w:pPr>
            <w:r>
              <w:t>26 August 2021</w:t>
            </w:r>
          </w:p>
        </w:tc>
        <w:tc>
          <w:tcPr>
            <w:tcW w:w="2126" w:type="dxa"/>
            <w:hideMark/>
          </w:tcPr>
          <w:p w14:paraId="071A1E5A" w14:textId="77777777" w:rsidR="008F2FDA" w:rsidRDefault="008F2FDA" w:rsidP="00CD71A3">
            <w:pPr>
              <w:pStyle w:val="NormalWeb"/>
              <w:jc w:val="center"/>
            </w:pPr>
            <w:r>
              <w:t>3</w:t>
            </w:r>
          </w:p>
        </w:tc>
        <w:tc>
          <w:tcPr>
            <w:tcW w:w="2268" w:type="dxa"/>
            <w:hideMark/>
          </w:tcPr>
          <w:p w14:paraId="100B2469" w14:textId="77777777" w:rsidR="008F2FDA" w:rsidRDefault="008F2FDA" w:rsidP="00CD71A3">
            <w:pPr>
              <w:pStyle w:val="NormalWeb"/>
              <w:jc w:val="center"/>
            </w:pPr>
            <w:r>
              <w:t>29 August 2021</w:t>
            </w:r>
          </w:p>
        </w:tc>
        <w:tc>
          <w:tcPr>
            <w:tcW w:w="2628" w:type="dxa"/>
            <w:hideMark/>
          </w:tcPr>
          <w:p w14:paraId="16808F16" w14:textId="77777777" w:rsidR="008F2FDA" w:rsidRDefault="008F2FDA" w:rsidP="00CD71A3">
            <w:pPr>
              <w:pStyle w:val="NormalWeb"/>
              <w:jc w:val="center"/>
            </w:pPr>
            <w:r>
              <w:t>0</w:t>
            </w:r>
          </w:p>
        </w:tc>
      </w:tr>
      <w:tr w:rsidR="008F2FDA" w14:paraId="7DF763AE"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89E90FD" w14:textId="77777777" w:rsidR="008F2FDA" w:rsidRDefault="008F2FDA" w:rsidP="00CD71A3">
            <w:pPr>
              <w:pStyle w:val="NormalWeb"/>
            </w:pPr>
            <w:r>
              <w:t>WA</w:t>
            </w:r>
          </w:p>
        </w:tc>
        <w:tc>
          <w:tcPr>
            <w:tcW w:w="2262" w:type="dxa"/>
            <w:hideMark/>
          </w:tcPr>
          <w:p w14:paraId="162CF4BB" w14:textId="77777777" w:rsidR="008F2FDA" w:rsidRDefault="008F2FDA" w:rsidP="00CD71A3">
            <w:pPr>
              <w:pStyle w:val="NormalWeb"/>
              <w:jc w:val="center"/>
            </w:pPr>
            <w:r>
              <w:t>3 April 2020</w:t>
            </w:r>
          </w:p>
        </w:tc>
        <w:tc>
          <w:tcPr>
            <w:tcW w:w="2126" w:type="dxa"/>
            <w:hideMark/>
          </w:tcPr>
          <w:p w14:paraId="55B573F6" w14:textId="77777777" w:rsidR="008F2FDA" w:rsidRDefault="008F2FDA" w:rsidP="00CD71A3">
            <w:pPr>
              <w:pStyle w:val="NormalWeb"/>
              <w:jc w:val="center"/>
            </w:pPr>
            <w:r>
              <w:t>513</w:t>
            </w:r>
          </w:p>
        </w:tc>
        <w:tc>
          <w:tcPr>
            <w:tcW w:w="2268" w:type="dxa"/>
            <w:hideMark/>
          </w:tcPr>
          <w:p w14:paraId="2D2E8FE4" w14:textId="77777777" w:rsidR="008F2FDA" w:rsidRDefault="008F2FDA" w:rsidP="00CD71A3">
            <w:pPr>
              <w:pStyle w:val="NormalWeb"/>
              <w:jc w:val="center"/>
            </w:pPr>
            <w:r>
              <w:t>2 August 2021</w:t>
            </w:r>
          </w:p>
        </w:tc>
        <w:tc>
          <w:tcPr>
            <w:tcW w:w="2628" w:type="dxa"/>
            <w:hideMark/>
          </w:tcPr>
          <w:p w14:paraId="6E52EA67" w14:textId="77777777" w:rsidR="008F2FDA" w:rsidRDefault="008F2FDA" w:rsidP="00CD71A3">
            <w:pPr>
              <w:pStyle w:val="NormalWeb"/>
              <w:jc w:val="center"/>
            </w:pPr>
            <w:r>
              <w:t>27</w:t>
            </w:r>
          </w:p>
        </w:tc>
      </w:tr>
    </w:tbl>
    <w:p w14:paraId="16B80A91" w14:textId="77777777" w:rsidR="008F2FDA" w:rsidRDefault="008F2FDA" w:rsidP="008F2FDA">
      <w:pPr>
        <w:pStyle w:val="CDIfootnotes"/>
        <w:rPr>
          <w:lang w:val="en-GB"/>
        </w:rPr>
      </w:pPr>
      <w:r>
        <w:rPr>
          <w:lang w:val="en-GB"/>
        </w:rPr>
        <w:t>a</w:t>
      </w:r>
      <w:r>
        <w:rPr>
          <w:lang w:val="en-GB"/>
        </w:rPr>
        <w:tab/>
        <w:t>Source: NINDSS, extract from 31 August 2021 for notifications to 29 August 2021.</w:t>
      </w:r>
    </w:p>
    <w:p w14:paraId="2D7A15FF" w14:textId="77777777" w:rsidR="008F2FDA" w:rsidRDefault="008F2FDA" w:rsidP="008F2FDA">
      <w:pPr>
        <w:pStyle w:val="CDIfootnotes"/>
        <w:rPr>
          <w:lang w:val="en-GB"/>
        </w:rPr>
      </w:pPr>
      <w:r>
        <w:rPr>
          <w:lang w:val="en-GB"/>
        </w:rPr>
        <w:t>b</w:t>
      </w:r>
      <w:r>
        <w:rPr>
          <w:lang w:val="en-GB"/>
        </w:rPr>
        <w:tab/>
        <w:t xml:space="preserve">This does not include </w:t>
      </w:r>
      <w:proofErr w:type="gramStart"/>
      <w:r>
        <w:rPr>
          <w:lang w:val="en-GB"/>
        </w:rPr>
        <w:t>locally-acquired</w:t>
      </w:r>
      <w:proofErr w:type="gramEnd"/>
      <w:r>
        <w:rPr>
          <w:lang w:val="en-GB"/>
        </w:rPr>
        <w:t xml:space="preserve"> cases that were interstate acquired.</w:t>
      </w:r>
    </w:p>
    <w:p w14:paraId="0139580B" w14:textId="22DCCE52" w:rsidR="008F2FDA" w:rsidRPr="008F2FDA" w:rsidRDefault="008F2FDA" w:rsidP="008F2FDA">
      <w:pPr>
        <w:pStyle w:val="CDIfootnotes"/>
        <w:rPr>
          <w:lang w:val="en-GB"/>
        </w:rPr>
      </w:pPr>
      <w:r>
        <w:rPr>
          <w:lang w:val="en-GB"/>
        </w:rPr>
        <w:t>c</w:t>
      </w:r>
      <w:r>
        <w:rPr>
          <w:lang w:val="en-GB"/>
        </w:rPr>
        <w:tab/>
        <w:t xml:space="preserve">NA: not applicable. The Northern Territory has not reported any </w:t>
      </w:r>
      <w:proofErr w:type="gramStart"/>
      <w:r>
        <w:rPr>
          <w:lang w:val="en-GB"/>
        </w:rPr>
        <w:t>locally-acquired</w:t>
      </w:r>
      <w:proofErr w:type="gramEnd"/>
      <w:r>
        <w:rPr>
          <w:lang w:val="en-GB"/>
        </w:rPr>
        <w:t xml:space="preserve"> cases with an unknown source of infection.</w:t>
      </w:r>
    </w:p>
    <w:p w14:paraId="21383EBD" w14:textId="4587AE5F" w:rsidR="00A32CF3" w:rsidRPr="007220A8" w:rsidRDefault="00A32CF3" w:rsidP="007220A8">
      <w:pPr>
        <w:pStyle w:val="Heading2"/>
      </w:pPr>
      <w:r w:rsidRPr="007220A8">
        <w:t xml:space="preserve">Demographic features </w:t>
      </w:r>
    </w:p>
    <w:p w14:paraId="05CB94C2" w14:textId="77777777" w:rsidR="00A32CF3" w:rsidRPr="007220A8" w:rsidRDefault="00A32CF3" w:rsidP="007220A8">
      <w:pPr>
        <w:pStyle w:val="Heading3"/>
      </w:pPr>
      <w:r w:rsidRPr="007220A8">
        <w:t xml:space="preserve">(NINDSS) </w:t>
      </w:r>
    </w:p>
    <w:p w14:paraId="6E167D83" w14:textId="2AB0EDB9" w:rsidR="00A32CF3" w:rsidRDefault="00A32CF3" w:rsidP="007220A8">
      <w:r>
        <w:t xml:space="preserve">In this reporting period, the largest proportion of cases occurred in those aged 20 to 29 years (24%; 3,124/13,252). For this year, the highest rate of infection was in those aged 20 to 29 years with a rate of 148.9 infections per 100,000 population (Figure 3; Appendix A, Table A.1). Adults aged 70 to 79 years had the lowest rate of infection this year. </w:t>
      </w:r>
    </w:p>
    <w:p w14:paraId="1B72B169" w14:textId="77777777" w:rsidR="00B95BF1" w:rsidRDefault="00B95BF1">
      <w:pPr>
        <w:rPr>
          <w:rStyle w:val="Strong"/>
          <w:bCs w:val="0"/>
        </w:rPr>
      </w:pPr>
      <w:r>
        <w:rPr>
          <w:rStyle w:val="Strong"/>
          <w:b w:val="0"/>
          <w:bCs w:val="0"/>
        </w:rPr>
        <w:br w:type="page"/>
      </w:r>
    </w:p>
    <w:p w14:paraId="72174158" w14:textId="7163C468" w:rsidR="00B95BF1" w:rsidRPr="008E62F4" w:rsidRDefault="00B95BF1" w:rsidP="00B95BF1">
      <w:pPr>
        <w:pStyle w:val="CDIFigures"/>
      </w:pPr>
      <w:r w:rsidRPr="008E62F4">
        <w:rPr>
          <w:rStyle w:val="Strong"/>
          <w:b/>
          <w:bCs w:val="0"/>
        </w:rPr>
        <w:lastRenderedPageBreak/>
        <w:t>Figure 3: Cumulative COVID-19 cases for the calendar year to date, by age group and sex, Australia, with a diagnosis date of 1 January 2021 – 29 August 2021</w:t>
      </w:r>
      <w:r w:rsidRPr="008E62F4">
        <w:rPr>
          <w:rStyle w:val="Strong"/>
          <w:b/>
          <w:bCs w:val="0"/>
          <w:vertAlign w:val="superscript"/>
        </w:rPr>
        <w:t>a</w:t>
      </w:r>
    </w:p>
    <w:p w14:paraId="0132BF8A" w14:textId="77777777" w:rsidR="00B95BF1" w:rsidRDefault="00B95BF1" w:rsidP="00B95BF1">
      <w:pPr>
        <w:pStyle w:val="NormalWeb"/>
        <w:rPr>
          <w:lang w:val="en-GB"/>
        </w:rPr>
      </w:pPr>
      <w:r>
        <w:rPr>
          <w:noProof/>
          <w:lang w:val="en-GB"/>
        </w:rPr>
        <w:drawing>
          <wp:inline distT="0" distB="0" distL="0" distR="0" wp14:anchorId="51F8B831" wp14:editId="4B61DEC4">
            <wp:extent cx="6632207" cy="3155674"/>
            <wp:effectExtent l="0" t="0" r="0" b="6985"/>
            <wp:docPr id="3" name="Picture 3" descr="A bar chart showing the cumulative rates per 100,000 population of confirmed COVID-19 cases, for this calendar year to date, as at 29 August 2021 by 10-year age group and sex. For this calendar year, the highest notification rate has been in the 20 to 29 year age group. In all age groups except those aged 0 to 19 years, males have a higher rate than females among cases notified in 2021 to dat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showing the cumulative rates per 100,000 population of confirmed COVID-19 cases, for this calendar year to date, as at 29 August 2021 by 10-year age group and sex. For this calendar year, the highest notification rate has been in the 20 to 29 year age group. In all age groups except those aged 0 to 19 years, males have a higher rate than females among cases notified in 2021 to date.&#10;&#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39091" cy="3158949"/>
                    </a:xfrm>
                    <a:prstGeom prst="rect">
                      <a:avLst/>
                    </a:prstGeom>
                  </pic:spPr>
                </pic:pic>
              </a:graphicData>
            </a:graphic>
          </wp:inline>
        </w:drawing>
      </w:r>
    </w:p>
    <w:p w14:paraId="609C9544" w14:textId="1A0CC4B7" w:rsidR="00B95BF1" w:rsidRPr="00B95BF1" w:rsidRDefault="00B95BF1" w:rsidP="00B95BF1">
      <w:pPr>
        <w:pStyle w:val="CDIfootnotes"/>
        <w:rPr>
          <w:lang w:val="en-GB"/>
        </w:rPr>
      </w:pPr>
      <w:r>
        <w:rPr>
          <w:lang w:val="en-GB"/>
        </w:rPr>
        <w:t>a</w:t>
      </w:r>
      <w:r>
        <w:rPr>
          <w:lang w:val="en-GB"/>
        </w:rPr>
        <w:tab/>
        <w:t>Source: NINDSS, extract from 31 August 2021 for notifications to 29 August 2021.</w:t>
      </w:r>
    </w:p>
    <w:p w14:paraId="6FD9FCC7" w14:textId="77777777" w:rsidR="00A32CF3" w:rsidRDefault="00A32CF3" w:rsidP="007220A8">
      <w:r>
        <w:t xml:space="preserve">In 2021, notification rates were higher in males than in females for all age groups except those aged 0 to 19. Rates were similar among males and females aged 0 to 9 and higher in females than males for cases aged 10 to 19 (Figure 3). The largest proportional difference by sex, in rates this year, was in the 70 to 79 years age group, where the cumulative rate among males was 31.0 cases per 100,000 population and among females was 21.8 cases per 100,000 population (Appendix A, Table A.1). The median age of cases in this reporting period was 27 years (range: 0 to 103 years; interquartile range, IQR: 17 to 42 years). </w:t>
      </w:r>
    </w:p>
    <w:p w14:paraId="18C3579B" w14:textId="77777777" w:rsidR="00A32CF3" w:rsidRPr="007220A8" w:rsidRDefault="00A32CF3" w:rsidP="007220A8">
      <w:pPr>
        <w:pStyle w:val="Heading2"/>
      </w:pPr>
      <w:r w:rsidRPr="007220A8">
        <w:t xml:space="preserve">Aboriginal and Torres Strait Islander persons </w:t>
      </w:r>
    </w:p>
    <w:p w14:paraId="19048BC9" w14:textId="77777777" w:rsidR="00A32CF3" w:rsidRPr="007220A8" w:rsidRDefault="00A32CF3" w:rsidP="007220A8">
      <w:pPr>
        <w:pStyle w:val="Heading3"/>
      </w:pPr>
      <w:r w:rsidRPr="007220A8">
        <w:rPr>
          <w:rStyle w:val="Emphasis"/>
          <w:b/>
          <w:bCs/>
          <w:i w:val="0"/>
          <w:iCs w:val="0"/>
          <w:spacing w:val="0"/>
        </w:rPr>
        <w:t xml:space="preserve">(NINDSS) </w:t>
      </w:r>
    </w:p>
    <w:p w14:paraId="5E735384" w14:textId="77777777" w:rsidR="00A32CF3" w:rsidRDefault="00A32CF3" w:rsidP="007220A8">
      <w:r>
        <w:t xml:space="preserve">Since the beginning of 2021, there have been 743 confirmed cases of COVID-19 notified in Aboriginal and Torres Strait Islander people, representing 3.1% of all confirmed cases (743/23,935) this year. During the reporting period, 577 new Aboriginal and Torres Strait Islander cases were notified, of which 575 were locally acquired from New South Wales and 2 were locally acquired from the Australian Capital Territory. The first COVID-19-associated death in an Aboriginal and Torres Strait Islander person was notified during the reporting period and was associated with the western New South Wales regional outbreak. </w:t>
      </w:r>
    </w:p>
    <w:p w14:paraId="0957E352" w14:textId="77777777" w:rsidR="00A32CF3" w:rsidRDefault="00A32CF3" w:rsidP="007220A8">
      <w:r>
        <w:t xml:space="preserve">As at 29 August 2021, it had been 0 days since the last </w:t>
      </w:r>
      <w:proofErr w:type="gramStart"/>
      <w:r>
        <w:t>locally-acquired</w:t>
      </w:r>
      <w:proofErr w:type="gramEnd"/>
      <w:r>
        <w:t xml:space="preserve"> Aboriginal and Torres Strait Islander case was diagnosed and 43 days since the last overseas-acquired Aboriginal and Torres Strait Islander case was diagnosed. </w:t>
      </w:r>
      <w:proofErr w:type="gramStart"/>
      <w:r>
        <w:t>The majority of</w:t>
      </w:r>
      <w:proofErr w:type="gramEnd"/>
      <w:r>
        <w:t xml:space="preserve"> Aboriginal and Torres Strait Islander cases in 2021 have been reported as locally acquired (99%; 737/743), with five cases overseas acquired. The median age of all Aboriginal and Torres Strait Islander cases this year was 22 years old (range: 0 to 79 years; IQR: 12 to 37 years) with a higher proportion of cases among females (53%; 393/743) than among males (47%; 349/743). </w:t>
      </w:r>
    </w:p>
    <w:p w14:paraId="415987E7" w14:textId="77777777" w:rsidR="00412D42" w:rsidRDefault="00412D42">
      <w:pPr>
        <w:rPr>
          <w:rFonts w:asciiTheme="majorHAnsi" w:eastAsiaTheme="majorEastAsia" w:hAnsiTheme="majorHAnsi" w:cstheme="majorBidi"/>
          <w:b/>
          <w:bCs/>
          <w:sz w:val="26"/>
          <w:szCs w:val="26"/>
        </w:rPr>
      </w:pPr>
      <w:r>
        <w:br w:type="page"/>
      </w:r>
    </w:p>
    <w:p w14:paraId="0BB877A4" w14:textId="6F62EE36" w:rsidR="00A32CF3" w:rsidRPr="007220A8" w:rsidRDefault="00A32CF3" w:rsidP="007220A8">
      <w:pPr>
        <w:pStyle w:val="Heading2"/>
      </w:pPr>
      <w:r w:rsidRPr="007220A8">
        <w:lastRenderedPageBreak/>
        <w:t xml:space="preserve">Vaccinations </w:t>
      </w:r>
    </w:p>
    <w:p w14:paraId="3ED2808E" w14:textId="77777777" w:rsidR="00A32CF3" w:rsidRPr="007220A8" w:rsidRDefault="00A32CF3" w:rsidP="007220A8">
      <w:pPr>
        <w:pStyle w:val="Heading3"/>
      </w:pPr>
      <w:r w:rsidRPr="007220A8">
        <w:t xml:space="preserve">(Department of Health) </w:t>
      </w:r>
    </w:p>
    <w:p w14:paraId="2C9AA759" w14:textId="5898C24F" w:rsidR="00A32CF3" w:rsidRDefault="00A32CF3" w:rsidP="007220A8">
      <w:r>
        <w:t>As of 1 August 2021, a total of 19,085,741 doses of COVID-19 vaccine had been administered (Table 4), including 764,981 doses provided to aged care and disability residents.</w:t>
      </w:r>
    </w:p>
    <w:p w14:paraId="36CA8F1C" w14:textId="77777777" w:rsidR="00B95BF1" w:rsidRPr="008E62F4" w:rsidRDefault="00B95BF1" w:rsidP="00B95BF1">
      <w:pPr>
        <w:pStyle w:val="CDIFigures"/>
      </w:pPr>
      <w:r w:rsidRPr="008E62F4">
        <w:rPr>
          <w:rStyle w:val="Strong"/>
          <w:b/>
          <w:bCs w:val="0"/>
        </w:rPr>
        <w:t>Table 4: Total number of vaccinations administered, by jurisdiction, Australia, 29 August 2021</w:t>
      </w:r>
      <w:r w:rsidRPr="008E62F4">
        <w:rPr>
          <w:rStyle w:val="Strong"/>
          <w:b/>
          <w:bCs w:val="0"/>
          <w:vertAlign w:val="superscript"/>
        </w:rPr>
        <w:t>a</w:t>
      </w:r>
    </w:p>
    <w:tbl>
      <w:tblPr>
        <w:tblStyle w:val="CDI-StandardTable"/>
        <w:tblW w:w="0" w:type="auto"/>
        <w:tblLook w:val="04A0" w:firstRow="1" w:lastRow="0" w:firstColumn="1" w:lastColumn="0" w:noHBand="0" w:noVBand="1"/>
        <w:tblDescription w:val="Table 4 shows the total number of vaccinations administered to date within each jurisdiction, noting also the Commonwealth-administered vaccinations provided to residents in aged care and disability settings and those administered in primary care settings. Of the 19,085,741 vaccinations administered as of 29 August 2021, slightly more than half (10,320,608 vaccinations) have been administered in primary care settings, with a further 764,981 vaccines administered to those in aged care and disability facilities. Of the vaccines administered by the states and territories, the greatest number has been administered by authorities in New South Wales (6,721,343 vaccines), followed by 4,892,786 vaccines administered by authorities in Victoria.&#10;"/>
      </w:tblPr>
      <w:tblGrid>
        <w:gridCol w:w="5220"/>
        <w:gridCol w:w="5220"/>
      </w:tblGrid>
      <w:tr w:rsidR="00B95BF1" w:rsidRPr="00B66200" w14:paraId="077E2BCB" w14:textId="77777777" w:rsidTr="00CD71A3">
        <w:trPr>
          <w:cnfStyle w:val="100000000000" w:firstRow="1" w:lastRow="0" w:firstColumn="0" w:lastColumn="0" w:oddVBand="0" w:evenVBand="0" w:oddHBand="0" w:evenHBand="0" w:firstRowFirstColumn="0" w:firstRowLastColumn="0" w:lastRowFirstColumn="0" w:lastRowLastColumn="0"/>
          <w:tblHeader/>
        </w:trPr>
        <w:tc>
          <w:tcPr>
            <w:tcW w:w="5220" w:type="dxa"/>
            <w:tcBorders>
              <w:right w:val="single" w:sz="2" w:space="0" w:color="FFFFFF" w:themeColor="background1"/>
            </w:tcBorders>
            <w:hideMark/>
          </w:tcPr>
          <w:p w14:paraId="13E0FA85" w14:textId="77777777" w:rsidR="00B95BF1" w:rsidRPr="00B66200" w:rsidRDefault="00B95BF1" w:rsidP="00CD71A3">
            <w:pPr>
              <w:pStyle w:val="NormalWeb"/>
              <w:rPr>
                <w:color w:val="FFFFFF" w:themeColor="background1"/>
              </w:rPr>
            </w:pPr>
            <w:r w:rsidRPr="00B66200">
              <w:rPr>
                <w:color w:val="FFFFFF" w:themeColor="background1"/>
              </w:rPr>
              <w:t>Jurisdiction</w:t>
            </w:r>
          </w:p>
        </w:tc>
        <w:tc>
          <w:tcPr>
            <w:tcW w:w="5220" w:type="dxa"/>
            <w:tcBorders>
              <w:left w:val="single" w:sz="2" w:space="0" w:color="FFFFFF" w:themeColor="background1"/>
            </w:tcBorders>
            <w:hideMark/>
          </w:tcPr>
          <w:p w14:paraId="38F76F86" w14:textId="77777777" w:rsidR="00B95BF1" w:rsidRPr="00B66200" w:rsidRDefault="00B95BF1" w:rsidP="00CD71A3">
            <w:pPr>
              <w:pStyle w:val="NormalWeb"/>
              <w:jc w:val="center"/>
              <w:rPr>
                <w:color w:val="FFFFFF" w:themeColor="background1"/>
              </w:rPr>
            </w:pPr>
            <w:r w:rsidRPr="00B66200">
              <w:rPr>
                <w:color w:val="FFFFFF" w:themeColor="background1"/>
              </w:rPr>
              <w:t>Total number of doses administered</w:t>
            </w:r>
          </w:p>
        </w:tc>
      </w:tr>
      <w:tr w:rsidR="00B95BF1" w14:paraId="1F009066" w14:textId="77777777" w:rsidTr="00CD71A3">
        <w:tblPrEx>
          <w:tblCellMar>
            <w:top w:w="57" w:type="dxa"/>
            <w:left w:w="57" w:type="dxa"/>
            <w:bottom w:w="57" w:type="dxa"/>
            <w:right w:w="57" w:type="dxa"/>
          </w:tblCellMar>
        </w:tblPrEx>
        <w:tc>
          <w:tcPr>
            <w:tcW w:w="5220" w:type="dxa"/>
            <w:hideMark/>
          </w:tcPr>
          <w:p w14:paraId="0E62C27F" w14:textId="77777777" w:rsidR="00B95BF1" w:rsidRDefault="00B95BF1" w:rsidP="00CD71A3">
            <w:pPr>
              <w:pStyle w:val="NormalWeb"/>
            </w:pPr>
            <w:r>
              <w:t>ACT</w:t>
            </w:r>
          </w:p>
        </w:tc>
        <w:tc>
          <w:tcPr>
            <w:tcW w:w="5220" w:type="dxa"/>
            <w:hideMark/>
          </w:tcPr>
          <w:p w14:paraId="7DCC3B01" w14:textId="77777777" w:rsidR="00B95BF1" w:rsidRDefault="00B95BF1" w:rsidP="00CD71A3">
            <w:pPr>
              <w:pStyle w:val="NormalWeb"/>
              <w:jc w:val="center"/>
            </w:pPr>
            <w:r>
              <w:t>446,067</w:t>
            </w:r>
          </w:p>
        </w:tc>
      </w:tr>
      <w:tr w:rsidR="00B95BF1" w14:paraId="7187A55F"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5220" w:type="dxa"/>
            <w:hideMark/>
          </w:tcPr>
          <w:p w14:paraId="73B0566B" w14:textId="77777777" w:rsidR="00B95BF1" w:rsidRDefault="00B95BF1" w:rsidP="00CD71A3">
            <w:pPr>
              <w:pStyle w:val="NormalWeb"/>
            </w:pPr>
            <w:r>
              <w:t>NSW</w:t>
            </w:r>
          </w:p>
        </w:tc>
        <w:tc>
          <w:tcPr>
            <w:tcW w:w="5220" w:type="dxa"/>
            <w:hideMark/>
          </w:tcPr>
          <w:p w14:paraId="4EF03E02" w14:textId="77777777" w:rsidR="00B95BF1" w:rsidRDefault="00B95BF1" w:rsidP="00CD71A3">
            <w:pPr>
              <w:pStyle w:val="NormalWeb"/>
              <w:jc w:val="center"/>
            </w:pPr>
            <w:r>
              <w:t>6,721,343</w:t>
            </w:r>
          </w:p>
        </w:tc>
      </w:tr>
      <w:tr w:rsidR="00B95BF1" w14:paraId="578F8EC8" w14:textId="77777777" w:rsidTr="00CD71A3">
        <w:tblPrEx>
          <w:tblCellMar>
            <w:top w:w="57" w:type="dxa"/>
            <w:left w:w="57" w:type="dxa"/>
            <w:bottom w:w="57" w:type="dxa"/>
            <w:right w:w="57" w:type="dxa"/>
          </w:tblCellMar>
        </w:tblPrEx>
        <w:tc>
          <w:tcPr>
            <w:tcW w:w="5220" w:type="dxa"/>
            <w:hideMark/>
          </w:tcPr>
          <w:p w14:paraId="7BE014C2" w14:textId="77777777" w:rsidR="00B95BF1" w:rsidRDefault="00B95BF1" w:rsidP="00CD71A3">
            <w:pPr>
              <w:pStyle w:val="NormalWeb"/>
            </w:pPr>
            <w:r>
              <w:t>NT</w:t>
            </w:r>
          </w:p>
        </w:tc>
        <w:tc>
          <w:tcPr>
            <w:tcW w:w="5220" w:type="dxa"/>
            <w:hideMark/>
          </w:tcPr>
          <w:p w14:paraId="5E89625E" w14:textId="77777777" w:rsidR="00B95BF1" w:rsidRDefault="00B95BF1" w:rsidP="00CD71A3">
            <w:pPr>
              <w:pStyle w:val="NormalWeb"/>
              <w:jc w:val="center"/>
            </w:pPr>
            <w:r>
              <w:t>208,029</w:t>
            </w:r>
          </w:p>
        </w:tc>
      </w:tr>
      <w:tr w:rsidR="00B95BF1" w14:paraId="1A63A285"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5220" w:type="dxa"/>
            <w:hideMark/>
          </w:tcPr>
          <w:p w14:paraId="3965784E" w14:textId="77777777" w:rsidR="00B95BF1" w:rsidRDefault="00B95BF1" w:rsidP="00CD71A3">
            <w:pPr>
              <w:pStyle w:val="NormalWeb"/>
            </w:pPr>
            <w:r>
              <w:t>Qld</w:t>
            </w:r>
          </w:p>
        </w:tc>
        <w:tc>
          <w:tcPr>
            <w:tcW w:w="5220" w:type="dxa"/>
            <w:hideMark/>
          </w:tcPr>
          <w:p w14:paraId="04C52686" w14:textId="77777777" w:rsidR="00B95BF1" w:rsidRDefault="00B95BF1" w:rsidP="00CD71A3">
            <w:pPr>
              <w:pStyle w:val="NormalWeb"/>
              <w:jc w:val="center"/>
            </w:pPr>
            <w:r>
              <w:t>3,410,142</w:t>
            </w:r>
          </w:p>
        </w:tc>
      </w:tr>
      <w:tr w:rsidR="00B95BF1" w14:paraId="6A961BFC" w14:textId="77777777" w:rsidTr="00CD71A3">
        <w:tblPrEx>
          <w:tblCellMar>
            <w:top w:w="57" w:type="dxa"/>
            <w:left w:w="57" w:type="dxa"/>
            <w:bottom w:w="57" w:type="dxa"/>
            <w:right w:w="57" w:type="dxa"/>
          </w:tblCellMar>
        </w:tblPrEx>
        <w:tc>
          <w:tcPr>
            <w:tcW w:w="5220" w:type="dxa"/>
            <w:hideMark/>
          </w:tcPr>
          <w:p w14:paraId="7B5E98DC" w14:textId="77777777" w:rsidR="00B95BF1" w:rsidRDefault="00B95BF1" w:rsidP="00CD71A3">
            <w:pPr>
              <w:pStyle w:val="NormalWeb"/>
            </w:pPr>
            <w:r>
              <w:t>SA</w:t>
            </w:r>
          </w:p>
        </w:tc>
        <w:tc>
          <w:tcPr>
            <w:tcW w:w="5220" w:type="dxa"/>
            <w:hideMark/>
          </w:tcPr>
          <w:p w14:paraId="771B3A3D" w14:textId="77777777" w:rsidR="00B95BF1" w:rsidRDefault="00B95BF1" w:rsidP="00CD71A3">
            <w:pPr>
              <w:pStyle w:val="NormalWeb"/>
              <w:jc w:val="center"/>
            </w:pPr>
            <w:r>
              <w:t>1,236,435</w:t>
            </w:r>
          </w:p>
        </w:tc>
      </w:tr>
      <w:tr w:rsidR="00B95BF1" w14:paraId="559415EF"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5220" w:type="dxa"/>
            <w:hideMark/>
          </w:tcPr>
          <w:p w14:paraId="1BBC8D0F" w14:textId="77777777" w:rsidR="00B95BF1" w:rsidRDefault="00B95BF1" w:rsidP="00CD71A3">
            <w:pPr>
              <w:pStyle w:val="NormalWeb"/>
            </w:pPr>
            <w:r>
              <w:t>Tas.</w:t>
            </w:r>
          </w:p>
        </w:tc>
        <w:tc>
          <w:tcPr>
            <w:tcW w:w="5220" w:type="dxa"/>
            <w:hideMark/>
          </w:tcPr>
          <w:p w14:paraId="2B7C2B41" w14:textId="77777777" w:rsidR="00B95BF1" w:rsidRDefault="00B95BF1" w:rsidP="00CD71A3">
            <w:pPr>
              <w:pStyle w:val="NormalWeb"/>
              <w:jc w:val="center"/>
            </w:pPr>
            <w:r>
              <w:t>443,001</w:t>
            </w:r>
          </w:p>
        </w:tc>
      </w:tr>
      <w:tr w:rsidR="00B95BF1" w14:paraId="06D8F3DE" w14:textId="77777777" w:rsidTr="00CD71A3">
        <w:tblPrEx>
          <w:tblCellMar>
            <w:top w:w="57" w:type="dxa"/>
            <w:left w:w="57" w:type="dxa"/>
            <w:bottom w:w="57" w:type="dxa"/>
            <w:right w:w="57" w:type="dxa"/>
          </w:tblCellMar>
        </w:tblPrEx>
        <w:tc>
          <w:tcPr>
            <w:tcW w:w="5220" w:type="dxa"/>
            <w:hideMark/>
          </w:tcPr>
          <w:p w14:paraId="2D1A49F1" w14:textId="77777777" w:rsidR="00B95BF1" w:rsidRDefault="00B95BF1" w:rsidP="00CD71A3">
            <w:pPr>
              <w:pStyle w:val="NormalWeb"/>
            </w:pPr>
            <w:r>
              <w:t>Vic.</w:t>
            </w:r>
          </w:p>
        </w:tc>
        <w:tc>
          <w:tcPr>
            <w:tcW w:w="5220" w:type="dxa"/>
            <w:hideMark/>
          </w:tcPr>
          <w:p w14:paraId="64936D67" w14:textId="77777777" w:rsidR="00B95BF1" w:rsidRDefault="00B95BF1" w:rsidP="00CD71A3">
            <w:pPr>
              <w:pStyle w:val="NormalWeb"/>
              <w:jc w:val="center"/>
            </w:pPr>
            <w:r>
              <w:t>4,892,786</w:t>
            </w:r>
          </w:p>
        </w:tc>
      </w:tr>
      <w:tr w:rsidR="00B95BF1" w14:paraId="04A0D68B"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5220" w:type="dxa"/>
            <w:hideMark/>
          </w:tcPr>
          <w:p w14:paraId="4C105142" w14:textId="77777777" w:rsidR="00B95BF1" w:rsidRDefault="00B95BF1" w:rsidP="00CD71A3">
            <w:pPr>
              <w:pStyle w:val="NormalWeb"/>
            </w:pPr>
            <w:r>
              <w:t>WA</w:t>
            </w:r>
          </w:p>
        </w:tc>
        <w:tc>
          <w:tcPr>
            <w:tcW w:w="5220" w:type="dxa"/>
            <w:hideMark/>
          </w:tcPr>
          <w:p w14:paraId="290A2100" w14:textId="77777777" w:rsidR="00B95BF1" w:rsidRDefault="00B95BF1" w:rsidP="00CD71A3">
            <w:pPr>
              <w:pStyle w:val="NormalWeb"/>
              <w:jc w:val="center"/>
            </w:pPr>
            <w:r>
              <w:t>1,727,938</w:t>
            </w:r>
          </w:p>
        </w:tc>
      </w:tr>
      <w:tr w:rsidR="00B95BF1" w14:paraId="2F2D24FD" w14:textId="77777777" w:rsidTr="00CD71A3">
        <w:tblPrEx>
          <w:tblCellMar>
            <w:top w:w="57" w:type="dxa"/>
            <w:left w:w="57" w:type="dxa"/>
            <w:bottom w:w="57" w:type="dxa"/>
            <w:right w:w="57" w:type="dxa"/>
          </w:tblCellMar>
        </w:tblPrEx>
        <w:tc>
          <w:tcPr>
            <w:tcW w:w="5220" w:type="dxa"/>
            <w:hideMark/>
          </w:tcPr>
          <w:p w14:paraId="2953484C" w14:textId="77777777" w:rsidR="00B95BF1" w:rsidRDefault="00B95BF1" w:rsidP="00CD71A3">
            <w:pPr>
              <w:pStyle w:val="NormalWeb"/>
            </w:pPr>
            <w:r>
              <w:t xml:space="preserve">Aged care and disability </w:t>
            </w:r>
            <w:proofErr w:type="spellStart"/>
            <w:r>
              <w:t>facilities</w:t>
            </w:r>
            <w:r w:rsidRPr="0043088C">
              <w:rPr>
                <w:vertAlign w:val="superscript"/>
              </w:rPr>
              <w:t>b</w:t>
            </w:r>
            <w:proofErr w:type="spellEnd"/>
          </w:p>
        </w:tc>
        <w:tc>
          <w:tcPr>
            <w:tcW w:w="5220" w:type="dxa"/>
            <w:hideMark/>
          </w:tcPr>
          <w:p w14:paraId="7B094F1E" w14:textId="77777777" w:rsidR="00B95BF1" w:rsidRDefault="00B95BF1" w:rsidP="00CD71A3">
            <w:pPr>
              <w:pStyle w:val="NormalWeb"/>
              <w:jc w:val="center"/>
            </w:pPr>
            <w:r>
              <w:t>764,981</w:t>
            </w:r>
          </w:p>
        </w:tc>
      </w:tr>
      <w:tr w:rsidR="00B95BF1" w14:paraId="5376B2C6"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5220" w:type="dxa"/>
            <w:hideMark/>
          </w:tcPr>
          <w:p w14:paraId="71F0D7BF" w14:textId="77777777" w:rsidR="00B95BF1" w:rsidRDefault="00B95BF1" w:rsidP="00CD71A3">
            <w:pPr>
              <w:pStyle w:val="NormalWeb"/>
            </w:pPr>
            <w:r>
              <w:t xml:space="preserve">Primary </w:t>
            </w:r>
            <w:proofErr w:type="spellStart"/>
            <w:r>
              <w:t>care</w:t>
            </w:r>
            <w:r w:rsidRPr="0043088C">
              <w:rPr>
                <w:vertAlign w:val="superscript"/>
              </w:rPr>
              <w:t>c</w:t>
            </w:r>
            <w:proofErr w:type="spellEnd"/>
          </w:p>
        </w:tc>
        <w:tc>
          <w:tcPr>
            <w:tcW w:w="5220" w:type="dxa"/>
            <w:hideMark/>
          </w:tcPr>
          <w:p w14:paraId="3F91B26C" w14:textId="77777777" w:rsidR="00B95BF1" w:rsidRDefault="00B95BF1" w:rsidP="00CD71A3">
            <w:pPr>
              <w:pStyle w:val="NormalWeb"/>
              <w:jc w:val="center"/>
            </w:pPr>
            <w:r>
              <w:t>10,320,608</w:t>
            </w:r>
          </w:p>
        </w:tc>
      </w:tr>
      <w:tr w:rsidR="00B95BF1" w:rsidRPr="00B66200" w14:paraId="22DD522A" w14:textId="77777777" w:rsidTr="00CD71A3">
        <w:tblPrEx>
          <w:tblCellMar>
            <w:top w:w="57" w:type="dxa"/>
            <w:left w:w="57" w:type="dxa"/>
            <w:bottom w:w="57" w:type="dxa"/>
            <w:right w:w="57" w:type="dxa"/>
          </w:tblCellMar>
        </w:tblPrEx>
        <w:tc>
          <w:tcPr>
            <w:tcW w:w="5220" w:type="dxa"/>
            <w:shd w:val="clear" w:color="auto" w:fill="FDE9D9" w:themeFill="accent6" w:themeFillTint="33"/>
            <w:hideMark/>
          </w:tcPr>
          <w:p w14:paraId="0BB53218" w14:textId="77777777" w:rsidR="00B95BF1" w:rsidRPr="00B66200" w:rsidRDefault="00B95BF1" w:rsidP="00CD71A3">
            <w:pPr>
              <w:pStyle w:val="NormalWeb"/>
              <w:rPr>
                <w:b/>
                <w:bCs/>
              </w:rPr>
            </w:pPr>
            <w:r w:rsidRPr="00B66200">
              <w:rPr>
                <w:b/>
                <w:bCs/>
              </w:rPr>
              <w:t>Total</w:t>
            </w:r>
          </w:p>
        </w:tc>
        <w:tc>
          <w:tcPr>
            <w:tcW w:w="5220" w:type="dxa"/>
            <w:shd w:val="clear" w:color="auto" w:fill="FDE9D9" w:themeFill="accent6" w:themeFillTint="33"/>
            <w:hideMark/>
          </w:tcPr>
          <w:p w14:paraId="414F863B" w14:textId="77777777" w:rsidR="00B95BF1" w:rsidRPr="00B66200" w:rsidRDefault="00B95BF1" w:rsidP="00CD71A3">
            <w:pPr>
              <w:pStyle w:val="NormalWeb"/>
              <w:jc w:val="center"/>
              <w:rPr>
                <w:b/>
                <w:bCs/>
              </w:rPr>
            </w:pPr>
            <w:r w:rsidRPr="00B66200">
              <w:rPr>
                <w:b/>
                <w:bCs/>
              </w:rPr>
              <w:t>19, 085,741</w:t>
            </w:r>
          </w:p>
        </w:tc>
      </w:tr>
    </w:tbl>
    <w:p w14:paraId="1FA5C8BC" w14:textId="77777777" w:rsidR="00B95BF1" w:rsidRDefault="00B95BF1" w:rsidP="00B95BF1">
      <w:pPr>
        <w:pStyle w:val="CDIfootnotes"/>
        <w:rPr>
          <w:lang w:val="en-GB"/>
        </w:rPr>
      </w:pPr>
      <w:r>
        <w:rPr>
          <w:lang w:val="en-GB"/>
        </w:rPr>
        <w:t>a</w:t>
      </w:r>
      <w:r>
        <w:rPr>
          <w:lang w:val="en-GB"/>
        </w:rPr>
        <w:tab/>
        <w:t>Source: Australian Government Department of Health website.</w:t>
      </w:r>
      <w:r w:rsidRPr="0068439C">
        <w:rPr>
          <w:vertAlign w:val="superscript"/>
          <w:lang w:val="en-GB"/>
        </w:rPr>
        <w:t>3</w:t>
      </w:r>
    </w:p>
    <w:p w14:paraId="3612A5F8" w14:textId="77777777" w:rsidR="00B95BF1" w:rsidRDefault="00B95BF1" w:rsidP="00B95BF1">
      <w:pPr>
        <w:pStyle w:val="CDIfootnotes"/>
        <w:rPr>
          <w:lang w:val="en-GB"/>
        </w:rPr>
      </w:pPr>
      <w:r>
        <w:rPr>
          <w:lang w:val="en-GB"/>
        </w:rPr>
        <w:t>b</w:t>
      </w:r>
      <w:r>
        <w:rPr>
          <w:lang w:val="en-GB"/>
        </w:rPr>
        <w:tab/>
        <w:t>Commonwealth vaccine doses administered in aged care and disability facilities.</w:t>
      </w:r>
    </w:p>
    <w:p w14:paraId="776347E8" w14:textId="1508DB0E" w:rsidR="00B95BF1" w:rsidRPr="00B95BF1" w:rsidRDefault="00B95BF1" w:rsidP="00B95BF1">
      <w:pPr>
        <w:pStyle w:val="CDIfootnotes"/>
        <w:rPr>
          <w:lang w:val="en-GB"/>
        </w:rPr>
      </w:pPr>
      <w:r>
        <w:rPr>
          <w:lang w:val="en-GB"/>
        </w:rPr>
        <w:t>c</w:t>
      </w:r>
      <w:r>
        <w:rPr>
          <w:lang w:val="en-GB"/>
        </w:rPr>
        <w:tab/>
        <w:t>Commonwealth vaccine doses administered in primary care settings.</w:t>
      </w:r>
    </w:p>
    <w:p w14:paraId="4412BA0E" w14:textId="77777777" w:rsidR="00A32CF3" w:rsidRPr="007220A8" w:rsidRDefault="00A32CF3" w:rsidP="007220A8">
      <w:pPr>
        <w:pStyle w:val="Heading2"/>
      </w:pPr>
      <w:r w:rsidRPr="007220A8">
        <w:t xml:space="preserve">Clusters and outbreaks </w:t>
      </w:r>
    </w:p>
    <w:p w14:paraId="1D7871D2" w14:textId="77777777" w:rsidR="00A32CF3" w:rsidRPr="007220A8" w:rsidRDefault="00A32CF3" w:rsidP="007220A8">
      <w:pPr>
        <w:pStyle w:val="Heading3"/>
      </w:pPr>
      <w:r w:rsidRPr="007220A8">
        <w:t xml:space="preserve">Sydney Metropolitan Outbreak </w:t>
      </w:r>
    </w:p>
    <w:p w14:paraId="30B34AC0" w14:textId="77777777" w:rsidR="00A32CF3" w:rsidRDefault="00A32CF3" w:rsidP="007220A8">
      <w:r>
        <w:t xml:space="preserve">The size of the Sydney Metropolitan Outbreak in New South Wales continued to increase during the reporting period. Genomic testing results showed that the first case was infected with the Delta SARS-CoV-2 variant of concern (B.1.617.2); however, the sequence did not match cases from the Victorian Delta variant outbreak that occurred from May to June 2021. This sequence had not been seen in Australia previously, but matches one from the United States of America. </w:t>
      </w:r>
    </w:p>
    <w:p w14:paraId="694769D6" w14:textId="77777777" w:rsidR="00A32CF3" w:rsidRDefault="00A32CF3" w:rsidP="007220A8">
      <w:r>
        <w:t xml:space="preserve">Whilst the outbreak started in south-east Sydney, the largest proportion of recently reported cases continued to be among residents of south-western and western Sydney, with cases also reported in residents of regional and remote areas in New South Wales, particularly in western New South Wales. The first cases in the Western NSW regional outbreak were reported in Dubbo on 11 August 2021. As at 29 August 2021, there had been 559 cases from the Western New South Wales Local Health District, including one death, and 76 in the Far West New South Wales Local Health District. </w:t>
      </w:r>
    </w:p>
    <w:p w14:paraId="73B41885" w14:textId="77777777" w:rsidR="00A32CF3" w:rsidRDefault="00A32CF3" w:rsidP="007220A8">
      <w:r>
        <w:t xml:space="preserve">In total, as at 29 August 2021, there had been 20,096 </w:t>
      </w:r>
      <w:proofErr w:type="gramStart"/>
      <w:r>
        <w:t>locally-acquired</w:t>
      </w:r>
      <w:proofErr w:type="gramEnd"/>
      <w:r>
        <w:t xml:space="preserve"> cases in New South Wales, including 91 deaths, reported following notification of the first case on 16 June 2021. </w:t>
      </w:r>
    </w:p>
    <w:p w14:paraId="24CC4365" w14:textId="77777777" w:rsidR="00412D42" w:rsidRDefault="00412D42">
      <w:pPr>
        <w:rPr>
          <w:rFonts w:asciiTheme="majorHAnsi" w:eastAsiaTheme="majorEastAsia" w:hAnsiTheme="majorHAnsi" w:cstheme="majorBidi"/>
          <w:b/>
          <w:bCs/>
        </w:rPr>
      </w:pPr>
      <w:r>
        <w:br w:type="page"/>
      </w:r>
    </w:p>
    <w:p w14:paraId="5F1DA817" w14:textId="22BF6D2E" w:rsidR="00A32CF3" w:rsidRPr="007220A8" w:rsidRDefault="00A32CF3" w:rsidP="007220A8">
      <w:pPr>
        <w:pStyle w:val="Heading3"/>
      </w:pPr>
      <w:r w:rsidRPr="007220A8">
        <w:lastRenderedPageBreak/>
        <w:t xml:space="preserve">Victoria </w:t>
      </w:r>
    </w:p>
    <w:p w14:paraId="0FC66B47" w14:textId="77777777" w:rsidR="00A32CF3" w:rsidRDefault="00A32CF3" w:rsidP="007220A8">
      <w:r>
        <w:t xml:space="preserve">As at 29 August 2021, there had been 1,037 </w:t>
      </w:r>
      <w:proofErr w:type="gramStart"/>
      <w:r>
        <w:t>locally-acquired</w:t>
      </w:r>
      <w:proofErr w:type="gramEnd"/>
      <w:r>
        <w:t xml:space="preserve"> cases been reported in Victoria since two unlinked cases were reported on 5 August 2021. Genomic testing determined these outbreaks were due to the Delta variant and were genomically closely associated with recent clusters in NSW and the previous two seeding events in Victoria from July 2021. </w:t>
      </w:r>
    </w:p>
    <w:p w14:paraId="4A0E2C01" w14:textId="77777777" w:rsidR="00A32CF3" w:rsidRDefault="00A32CF3" w:rsidP="007220A8">
      <w:r>
        <w:t xml:space="preserve">Most cases in the outbreak were in Greater Melbourne. However, on 20 August 2021, cases were reported in Shepparton in regional Victoria. As at 29 August 2021, there had been 99 cases reported in Shepparton. </w:t>
      </w:r>
    </w:p>
    <w:p w14:paraId="1CBAF875" w14:textId="77777777" w:rsidR="00A32CF3" w:rsidRPr="007220A8" w:rsidRDefault="00A32CF3" w:rsidP="007220A8">
      <w:pPr>
        <w:pStyle w:val="Heading3"/>
      </w:pPr>
      <w:r w:rsidRPr="007220A8">
        <w:t xml:space="preserve">Australian Capital Territory </w:t>
      </w:r>
    </w:p>
    <w:p w14:paraId="4BDA6F07" w14:textId="77777777" w:rsidR="00A32CF3" w:rsidRDefault="00A32CF3" w:rsidP="007220A8">
      <w:r>
        <w:t xml:space="preserve">The first case in this outbreak, which was the first locally acquired case in the Australian Capital Territory in over a year, was reported on 12 August 2021 and was confirmed to have the Delta variant. The source of infection remained under investigation at the end of this reporting period, though it was genomically linked to the Sydney Metropolitan Outbreak. As at 29 August 2021, a total of 261 cases had been reported as part of this outbreak. </w:t>
      </w:r>
    </w:p>
    <w:p w14:paraId="15E2472C" w14:textId="77777777" w:rsidR="00A32CF3" w:rsidRPr="007220A8" w:rsidRDefault="00A32CF3" w:rsidP="007220A8">
      <w:pPr>
        <w:pStyle w:val="Heading3"/>
      </w:pPr>
      <w:r w:rsidRPr="007220A8">
        <w:t xml:space="preserve">Queensland </w:t>
      </w:r>
    </w:p>
    <w:p w14:paraId="24D11E7B" w14:textId="77777777" w:rsidR="00A32CF3" w:rsidRDefault="00A32CF3" w:rsidP="007220A8">
      <w:r>
        <w:t xml:space="preserve">All </w:t>
      </w:r>
      <w:proofErr w:type="gramStart"/>
      <w:r>
        <w:t>locally-acquired</w:t>
      </w:r>
      <w:proofErr w:type="gramEnd"/>
      <w:r>
        <w:t xml:space="preserve"> cases reported in Queensland during the reporting period were part of an outbreak linked to a Brisbane high school (Indooroopilly cluster). The first case in this outbreak was reported on 30 July 2021. The outbreak was genomically linked to returned overseas travellers with the Delta variant. The epidemiological link remained under investigation at the end of this reporting period. The last reported case infectious in the community was reported on 6 August 2021 and all cases reported since then had been in quarantine for their infectious period. As at 29 August 2021, a total of 148 cases were linked to this outbreak. </w:t>
      </w:r>
    </w:p>
    <w:p w14:paraId="058B10B4" w14:textId="77777777" w:rsidR="00A32CF3" w:rsidRPr="007220A8" w:rsidRDefault="00A32CF3" w:rsidP="007220A8">
      <w:pPr>
        <w:pStyle w:val="Heading2"/>
      </w:pPr>
      <w:r w:rsidRPr="007220A8">
        <w:t xml:space="preserve">Severity </w:t>
      </w:r>
    </w:p>
    <w:p w14:paraId="430C8FD3" w14:textId="77777777" w:rsidR="00A32CF3" w:rsidRPr="007220A8" w:rsidRDefault="00A32CF3" w:rsidP="007220A8">
      <w:pPr>
        <w:pStyle w:val="Heading3"/>
      </w:pPr>
      <w:r w:rsidRPr="007220A8">
        <w:t xml:space="preserve">(NINDSS, SPRINT-SARI) </w:t>
      </w:r>
    </w:p>
    <w:p w14:paraId="53F6619A" w14:textId="77777777" w:rsidR="00A32CF3" w:rsidRPr="007220A8" w:rsidRDefault="00A32CF3" w:rsidP="007220A8">
      <w:pPr>
        <w:pStyle w:val="Heading4"/>
      </w:pPr>
      <w:r w:rsidRPr="007220A8">
        <w:t xml:space="preserve">Hospitalisation and intensive care unit admission </w:t>
      </w:r>
    </w:p>
    <w:p w14:paraId="2E0B2385" w14:textId="4FBCA6E5" w:rsidR="00A32CF3" w:rsidRDefault="00A32CF3" w:rsidP="007220A8">
      <w:r>
        <w:t xml:space="preserve">Given the delay between illness onset and severe illness, cases with an onset in the last two weeks were excluded from the analysis on severity based on NINDSS data. In 2021, based on data from selected jurisdictions with reliable and complete hospitalisation data, 11% of cases with an onset up to 16 August 2021 (1,386/12,269) were hospitalised, 3% (309/12,269) required intensive care and 1% (87/12,269) died (Table 5). This was based on data from six states/territories with reliable data across both hospitalisation and intensive care unit (ICU) data fields in the NINDSS, and which did not routinely hospitalise cases for isolation purposes (Australian Capital Territory, New South Wales, South Australia, Tasmania, Victoria and Western Australia). </w:t>
      </w:r>
    </w:p>
    <w:p w14:paraId="387F95F8" w14:textId="77777777" w:rsidR="00B95BF1" w:rsidRDefault="00B95BF1" w:rsidP="00B95BF1">
      <w:pPr>
        <w:pStyle w:val="CDIFigures"/>
        <w:rPr>
          <w:rStyle w:val="Strong"/>
          <w:b/>
          <w:bCs w:val="0"/>
        </w:rPr>
        <w:sectPr w:rsidR="00B95BF1" w:rsidSect="00A30C37">
          <w:headerReference w:type="default" r:id="rId12"/>
          <w:footerReference w:type="default" r:id="rId13"/>
          <w:footerReference w:type="first" r:id="rId14"/>
          <w:footnotePr>
            <w:numFmt w:val="lowerRoman"/>
          </w:footnotePr>
          <w:pgSz w:w="11906" w:h="16838"/>
          <w:pgMar w:top="720" w:right="720" w:bottom="1134" w:left="720" w:header="709" w:footer="284" w:gutter="0"/>
          <w:cols w:space="708"/>
          <w:titlePg/>
          <w:docGrid w:linePitch="360"/>
        </w:sectPr>
      </w:pPr>
    </w:p>
    <w:p w14:paraId="3941996F" w14:textId="1E8A3E2A" w:rsidR="00B95BF1" w:rsidRPr="008E62F4" w:rsidRDefault="00B95BF1" w:rsidP="00B95BF1">
      <w:pPr>
        <w:pStyle w:val="CDIFigures"/>
      </w:pPr>
      <w:r w:rsidRPr="008E62F4">
        <w:rPr>
          <w:rStyle w:val="Strong"/>
          <w:b/>
          <w:bCs w:val="0"/>
        </w:rPr>
        <w:lastRenderedPageBreak/>
        <w:t>Table 5: COVID-19 cases by age group and highest level of illness severity, selected jurisdictions, 1 January 2021 – 16 August 2021</w:t>
      </w:r>
      <w:proofErr w:type="gramStart"/>
      <w:r w:rsidRPr="008E62F4">
        <w:rPr>
          <w:rStyle w:val="Strong"/>
          <w:b/>
          <w:bCs w:val="0"/>
          <w:vertAlign w:val="superscript"/>
        </w:rPr>
        <w:t>a,b</w:t>
      </w:r>
      <w:proofErr w:type="gramEnd"/>
    </w:p>
    <w:tbl>
      <w:tblPr>
        <w:tblStyle w:val="CDI-StandardTable"/>
        <w:tblW w:w="0" w:type="auto"/>
        <w:tblLook w:val="04A0" w:firstRow="1" w:lastRow="0" w:firstColumn="1" w:lastColumn="0" w:noHBand="0" w:noVBand="1"/>
        <w:tblDescription w:val="Table 5 summarises the total number of cases and the proportions of the highest level of illness severity (hospitalisation, intensive care unit (ICU) admission or death) for the calendar year to 16 August 2021, as a function of age group, among cases recorded in six jurisdictions with the most reliable hospitalisation/ICU data: the Australian Capital Territory, New South Wales, South Australia, Tasmania, Victoria and Western Australia. While the largest fraction of total cases has been those in the 20–29 year age bracket (comprising respectively 2,685 out of a total 12,269 cases), those hospitalised or admitted to an ICU are predominantly from systematically older age groups. The number of hospitalisations is greatest for those in the 30–39 year age group; the percentage of cases within a given age group hospitalised is highest for those aged 80 years and older, with hospitalisation rates of 46% and 56% for the 80–89 and 90+ year age groups respectively. The largest number of ICU admissions this year has occurred in the 50–59 year age group (78/309 admissions), with 6% of cases in this age group admitted to ICU.&#10;"/>
      </w:tblPr>
      <w:tblGrid>
        <w:gridCol w:w="1340"/>
        <w:gridCol w:w="1235"/>
        <w:gridCol w:w="2096"/>
        <w:gridCol w:w="1804"/>
        <w:gridCol w:w="902"/>
        <w:gridCol w:w="1443"/>
        <w:gridCol w:w="2340"/>
        <w:gridCol w:w="1980"/>
        <w:gridCol w:w="1782"/>
      </w:tblGrid>
      <w:tr w:rsidR="00B95BF1" w:rsidRPr="008E62F4" w14:paraId="53BFEFF2" w14:textId="77777777" w:rsidTr="00B95BF1">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24A7FEE2" w14:textId="77777777" w:rsidR="00B95BF1" w:rsidRPr="008E62F4" w:rsidRDefault="00B95BF1" w:rsidP="00CD71A3">
            <w:pPr>
              <w:pStyle w:val="NormalWeb"/>
              <w:rPr>
                <w:color w:val="FFFFFF" w:themeColor="background1"/>
              </w:rPr>
            </w:pPr>
            <w:r w:rsidRPr="008E62F4">
              <w:rPr>
                <w:color w:val="FFFFFF" w:themeColor="background1"/>
              </w:rPr>
              <w:t>Age group</w:t>
            </w:r>
          </w:p>
        </w:tc>
        <w:tc>
          <w:tcPr>
            <w:tcW w:w="7480" w:type="dxa"/>
            <w:gridSpan w:val="5"/>
            <w:tcBorders>
              <w:left w:val="single" w:sz="2" w:space="0" w:color="FFFFFF" w:themeColor="background1"/>
              <w:bottom w:val="single" w:sz="2" w:space="0" w:color="FFFFFF" w:themeColor="background1"/>
              <w:right w:val="single" w:sz="2" w:space="0" w:color="FFFFFF" w:themeColor="background1"/>
            </w:tcBorders>
            <w:hideMark/>
          </w:tcPr>
          <w:p w14:paraId="5BE9E97C" w14:textId="77777777" w:rsidR="00B95BF1" w:rsidRPr="008E62F4" w:rsidRDefault="00B95BF1" w:rsidP="00CD71A3">
            <w:pPr>
              <w:pStyle w:val="NormalWeb"/>
              <w:jc w:val="center"/>
              <w:rPr>
                <w:color w:val="FFFFFF" w:themeColor="background1"/>
              </w:rPr>
            </w:pPr>
            <w:r w:rsidRPr="008E62F4">
              <w:rPr>
                <w:color w:val="FFFFFF" w:themeColor="background1"/>
              </w:rPr>
              <w:t>Count</w:t>
            </w:r>
          </w:p>
        </w:tc>
        <w:tc>
          <w:tcPr>
            <w:tcW w:w="6102" w:type="dxa"/>
            <w:gridSpan w:val="3"/>
            <w:tcBorders>
              <w:left w:val="single" w:sz="2" w:space="0" w:color="FFFFFF" w:themeColor="background1"/>
              <w:bottom w:val="single" w:sz="2" w:space="0" w:color="FFFFFF" w:themeColor="background1"/>
            </w:tcBorders>
            <w:hideMark/>
          </w:tcPr>
          <w:p w14:paraId="37AF1B88" w14:textId="77777777" w:rsidR="00B95BF1" w:rsidRPr="008E62F4" w:rsidRDefault="00B95BF1" w:rsidP="00CD71A3">
            <w:pPr>
              <w:pStyle w:val="NormalWeb"/>
              <w:jc w:val="center"/>
              <w:rPr>
                <w:color w:val="FFFFFF" w:themeColor="background1"/>
              </w:rPr>
            </w:pPr>
            <w:r w:rsidRPr="008E62F4">
              <w:rPr>
                <w:color w:val="FFFFFF" w:themeColor="background1"/>
              </w:rPr>
              <w:t>% of cases</w:t>
            </w:r>
          </w:p>
        </w:tc>
      </w:tr>
      <w:tr w:rsidR="00B95BF1" w:rsidRPr="008E62F4" w14:paraId="65C319E3" w14:textId="77777777" w:rsidTr="00B95BF1">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single" w:sz="2" w:space="0" w:color="FFFFFF" w:themeColor="background1"/>
              <w:right w:val="single" w:sz="2" w:space="0" w:color="FFFFFF" w:themeColor="background1"/>
            </w:tcBorders>
            <w:hideMark/>
          </w:tcPr>
          <w:p w14:paraId="0564F1F5" w14:textId="77777777" w:rsidR="00B95BF1" w:rsidRPr="008E62F4" w:rsidRDefault="00B95BF1" w:rsidP="00CD71A3">
            <w:pPr>
              <w:rPr>
                <w:color w:val="FFFFFF" w:themeColor="background1"/>
                <w:sz w:val="24"/>
                <w:szCs w:val="24"/>
              </w:rPr>
            </w:pPr>
          </w:p>
        </w:tc>
        <w:tc>
          <w:tcPr>
            <w:tcW w:w="0" w:type="auto"/>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0CA2EBB8" w14:textId="56AD2FDC" w:rsidR="00B95BF1" w:rsidRPr="008E62F4" w:rsidRDefault="00B95BF1" w:rsidP="00CD71A3">
            <w:pPr>
              <w:pStyle w:val="NormalWeb"/>
              <w:jc w:val="center"/>
              <w:rPr>
                <w:color w:val="FFFFFF" w:themeColor="background1"/>
              </w:rPr>
            </w:pPr>
            <w:r w:rsidRPr="008E62F4">
              <w:rPr>
                <w:color w:val="FFFFFF" w:themeColor="background1"/>
              </w:rPr>
              <w:t xml:space="preserve">Not </w:t>
            </w:r>
            <w:r w:rsidR="00CD71A3">
              <w:rPr>
                <w:color w:val="FFFFFF" w:themeColor="background1"/>
              </w:rPr>
              <w:t>s</w:t>
            </w:r>
            <w:r w:rsidRPr="008E62F4">
              <w:rPr>
                <w:color w:val="FFFFFF" w:themeColor="background1"/>
              </w:rPr>
              <w:t>evere</w:t>
            </w:r>
          </w:p>
        </w:tc>
        <w:tc>
          <w:tcPr>
            <w:tcW w:w="20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6139AFA8" w14:textId="77777777" w:rsidR="00B95BF1" w:rsidRPr="008E62F4" w:rsidRDefault="00B95BF1" w:rsidP="00CD71A3">
            <w:pPr>
              <w:pStyle w:val="NormalWeb"/>
              <w:jc w:val="center"/>
              <w:rPr>
                <w:color w:val="FFFFFF" w:themeColor="background1"/>
              </w:rPr>
            </w:pPr>
            <w:r w:rsidRPr="008E62F4">
              <w:rPr>
                <w:color w:val="FFFFFF" w:themeColor="background1"/>
              </w:rPr>
              <w:t>Hospitalised only</w:t>
            </w:r>
          </w:p>
        </w:tc>
        <w:tc>
          <w:tcPr>
            <w:tcW w:w="180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7D14BA9C" w14:textId="77777777" w:rsidR="00B95BF1" w:rsidRPr="008E62F4" w:rsidRDefault="00B95BF1" w:rsidP="00CD71A3">
            <w:pPr>
              <w:pStyle w:val="NormalWeb"/>
              <w:jc w:val="center"/>
              <w:rPr>
                <w:color w:val="FFFFFF" w:themeColor="background1"/>
              </w:rPr>
            </w:pPr>
            <w:r w:rsidRPr="008E62F4">
              <w:rPr>
                <w:color w:val="FFFFFF" w:themeColor="background1"/>
              </w:rPr>
              <w:t>ICU</w:t>
            </w:r>
          </w:p>
        </w:tc>
        <w:tc>
          <w:tcPr>
            <w:tcW w:w="90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1F47F92C" w14:textId="77777777" w:rsidR="00B95BF1" w:rsidRPr="008E62F4" w:rsidRDefault="00B95BF1" w:rsidP="00CD71A3">
            <w:pPr>
              <w:pStyle w:val="NormalWeb"/>
              <w:jc w:val="center"/>
              <w:rPr>
                <w:color w:val="FFFFFF" w:themeColor="background1"/>
              </w:rPr>
            </w:pPr>
            <w:r w:rsidRPr="008E62F4">
              <w:rPr>
                <w:color w:val="FFFFFF" w:themeColor="background1"/>
              </w:rPr>
              <w:t>Died</w:t>
            </w:r>
          </w:p>
        </w:tc>
        <w:tc>
          <w:tcPr>
            <w:tcW w:w="144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272EC243" w14:textId="77777777" w:rsidR="00B95BF1" w:rsidRPr="008E62F4" w:rsidRDefault="00B95BF1" w:rsidP="00CD71A3">
            <w:pPr>
              <w:pStyle w:val="NormalWeb"/>
              <w:jc w:val="center"/>
              <w:rPr>
                <w:color w:val="FFFFFF" w:themeColor="background1"/>
              </w:rPr>
            </w:pPr>
            <w:r w:rsidRPr="008E62F4">
              <w:rPr>
                <w:color w:val="FFFFFF" w:themeColor="background1"/>
              </w:rPr>
              <w:t>Total cases</w:t>
            </w:r>
          </w:p>
        </w:tc>
        <w:tc>
          <w:tcPr>
            <w:tcW w:w="23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47DF3D6F" w14:textId="77777777" w:rsidR="00B95BF1" w:rsidRPr="008E62F4" w:rsidRDefault="00B95BF1" w:rsidP="00CD71A3">
            <w:pPr>
              <w:pStyle w:val="NormalWeb"/>
              <w:jc w:val="center"/>
              <w:rPr>
                <w:color w:val="FFFFFF" w:themeColor="background1"/>
              </w:rPr>
            </w:pPr>
            <w:r w:rsidRPr="008E62F4">
              <w:rPr>
                <w:color w:val="FFFFFF" w:themeColor="background1"/>
              </w:rPr>
              <w:t>Hospitalised only</w:t>
            </w:r>
          </w:p>
        </w:tc>
        <w:tc>
          <w:tcPr>
            <w:tcW w:w="198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5A44B4E6" w14:textId="77777777" w:rsidR="00B95BF1" w:rsidRPr="008E62F4" w:rsidRDefault="00B95BF1" w:rsidP="00CD71A3">
            <w:pPr>
              <w:pStyle w:val="NormalWeb"/>
              <w:jc w:val="center"/>
              <w:rPr>
                <w:color w:val="FFFFFF" w:themeColor="background1"/>
              </w:rPr>
            </w:pPr>
            <w:r w:rsidRPr="008E62F4">
              <w:rPr>
                <w:color w:val="FFFFFF" w:themeColor="background1"/>
              </w:rPr>
              <w:t>ICU</w:t>
            </w:r>
          </w:p>
        </w:tc>
        <w:tc>
          <w:tcPr>
            <w:tcW w:w="1782" w:type="dxa"/>
            <w:vMerge w:val="restart"/>
            <w:tcBorders>
              <w:top w:val="single" w:sz="2" w:space="0" w:color="FFFFFF" w:themeColor="background1"/>
              <w:left w:val="single" w:sz="2" w:space="0" w:color="FFFFFF" w:themeColor="background1"/>
              <w:bottom w:val="single" w:sz="2" w:space="0" w:color="FFFFFF" w:themeColor="background1"/>
            </w:tcBorders>
            <w:hideMark/>
          </w:tcPr>
          <w:p w14:paraId="18DCB2C6" w14:textId="77777777" w:rsidR="00B95BF1" w:rsidRPr="008E62F4" w:rsidRDefault="00B95BF1" w:rsidP="00CD71A3">
            <w:pPr>
              <w:pStyle w:val="NormalWeb"/>
              <w:jc w:val="center"/>
              <w:rPr>
                <w:color w:val="FFFFFF" w:themeColor="background1"/>
              </w:rPr>
            </w:pPr>
            <w:r w:rsidRPr="008E62F4">
              <w:rPr>
                <w:color w:val="FFFFFF" w:themeColor="background1"/>
              </w:rPr>
              <w:t>Died</w:t>
            </w:r>
          </w:p>
        </w:tc>
      </w:tr>
      <w:tr w:rsidR="00B95BF1" w:rsidRPr="008E62F4" w14:paraId="520C4ADE" w14:textId="77777777" w:rsidTr="00B95BF1">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08C51001" w14:textId="77777777" w:rsidR="00B95BF1" w:rsidRPr="008E62F4" w:rsidRDefault="00B95BF1" w:rsidP="00CD71A3">
            <w:pP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14:paraId="0B03B77B" w14:textId="77777777" w:rsidR="00B95BF1" w:rsidRPr="008E62F4" w:rsidRDefault="00B95BF1" w:rsidP="00CD71A3">
            <w:pPr>
              <w:jc w:val="center"/>
              <w:rPr>
                <w:color w:val="FFFFFF" w:themeColor="background1"/>
                <w:sz w:val="24"/>
                <w:szCs w:val="24"/>
              </w:rPr>
            </w:pPr>
          </w:p>
        </w:tc>
        <w:tc>
          <w:tcPr>
            <w:tcW w:w="2092" w:type="dxa"/>
            <w:tcBorders>
              <w:top w:val="single" w:sz="2" w:space="0" w:color="FFFFFF" w:themeColor="background1"/>
              <w:left w:val="single" w:sz="2" w:space="0" w:color="FFFFFF" w:themeColor="background1"/>
              <w:right w:val="single" w:sz="2" w:space="0" w:color="FFFFFF" w:themeColor="background1"/>
            </w:tcBorders>
            <w:hideMark/>
          </w:tcPr>
          <w:p w14:paraId="28A2973E" w14:textId="77777777" w:rsidR="00B95BF1" w:rsidRPr="008E62F4" w:rsidRDefault="00B95BF1" w:rsidP="00CD71A3">
            <w:pPr>
              <w:pStyle w:val="NormalWeb"/>
              <w:jc w:val="center"/>
              <w:rPr>
                <w:color w:val="FFFFFF" w:themeColor="background1"/>
              </w:rPr>
            </w:pPr>
            <w:r w:rsidRPr="008E62F4">
              <w:rPr>
                <w:color w:val="FFFFFF" w:themeColor="background1"/>
              </w:rPr>
              <w:t>(not ICU or died)</w:t>
            </w:r>
          </w:p>
        </w:tc>
        <w:tc>
          <w:tcPr>
            <w:tcW w:w="1800" w:type="dxa"/>
            <w:tcBorders>
              <w:top w:val="single" w:sz="2" w:space="0" w:color="FFFFFF" w:themeColor="background1"/>
              <w:left w:val="single" w:sz="2" w:space="0" w:color="FFFFFF" w:themeColor="background1"/>
              <w:right w:val="single" w:sz="2" w:space="0" w:color="FFFFFF" w:themeColor="background1"/>
            </w:tcBorders>
            <w:hideMark/>
          </w:tcPr>
          <w:p w14:paraId="0090E9CA" w14:textId="4B2130E4" w:rsidR="00B95BF1" w:rsidRPr="008E62F4" w:rsidRDefault="00B95BF1" w:rsidP="00CD71A3">
            <w:pPr>
              <w:pStyle w:val="NormalWeb"/>
              <w:jc w:val="center"/>
              <w:rPr>
                <w:color w:val="FFFFFF" w:themeColor="background1"/>
              </w:rPr>
            </w:pPr>
            <w:r w:rsidRPr="008E62F4">
              <w:rPr>
                <w:color w:val="FFFFFF" w:themeColor="background1"/>
              </w:rPr>
              <w:t>(not died</w:t>
            </w:r>
            <w:r w:rsidR="00D1211B">
              <w:rPr>
                <w:color w:val="FFFFFF" w:themeColor="background1"/>
              </w:rPr>
              <w:t>)</w:t>
            </w:r>
          </w:p>
        </w:tc>
        <w:tc>
          <w:tcPr>
            <w:tcW w:w="900" w:type="dxa"/>
            <w:vMerge/>
            <w:tcBorders>
              <w:top w:val="single" w:sz="2" w:space="0" w:color="FFFFFF" w:themeColor="background1"/>
              <w:left w:val="single" w:sz="2" w:space="0" w:color="FFFFFF" w:themeColor="background1"/>
              <w:right w:val="single" w:sz="2" w:space="0" w:color="FFFFFF" w:themeColor="background1"/>
            </w:tcBorders>
            <w:hideMark/>
          </w:tcPr>
          <w:p w14:paraId="526589B4" w14:textId="77777777" w:rsidR="00B95BF1" w:rsidRPr="008E62F4" w:rsidRDefault="00B95BF1" w:rsidP="00CD71A3">
            <w:pPr>
              <w:jc w:val="center"/>
              <w:rPr>
                <w:color w:val="FFFFFF" w:themeColor="background1"/>
                <w:sz w:val="24"/>
                <w:szCs w:val="24"/>
              </w:rPr>
            </w:pPr>
          </w:p>
        </w:tc>
        <w:tc>
          <w:tcPr>
            <w:tcW w:w="1440" w:type="dxa"/>
            <w:vMerge/>
            <w:tcBorders>
              <w:top w:val="single" w:sz="2" w:space="0" w:color="FFFFFF" w:themeColor="background1"/>
              <w:left w:val="single" w:sz="2" w:space="0" w:color="FFFFFF" w:themeColor="background1"/>
              <w:right w:val="single" w:sz="2" w:space="0" w:color="FFFFFF" w:themeColor="background1"/>
            </w:tcBorders>
            <w:hideMark/>
          </w:tcPr>
          <w:p w14:paraId="1C609563" w14:textId="77777777" w:rsidR="00B95BF1" w:rsidRPr="008E62F4" w:rsidRDefault="00B95BF1" w:rsidP="00CD71A3">
            <w:pPr>
              <w:jc w:val="center"/>
              <w:rPr>
                <w:color w:val="FFFFFF" w:themeColor="background1"/>
                <w:sz w:val="24"/>
                <w:szCs w:val="24"/>
              </w:rPr>
            </w:pPr>
          </w:p>
        </w:tc>
        <w:tc>
          <w:tcPr>
            <w:tcW w:w="2340" w:type="dxa"/>
            <w:tcBorders>
              <w:top w:val="single" w:sz="2" w:space="0" w:color="FFFFFF" w:themeColor="background1"/>
              <w:left w:val="single" w:sz="2" w:space="0" w:color="FFFFFF" w:themeColor="background1"/>
              <w:right w:val="single" w:sz="2" w:space="0" w:color="FFFFFF" w:themeColor="background1"/>
            </w:tcBorders>
            <w:hideMark/>
          </w:tcPr>
          <w:p w14:paraId="404FB17C" w14:textId="77777777" w:rsidR="00B95BF1" w:rsidRPr="008E62F4" w:rsidRDefault="00B95BF1" w:rsidP="00CD71A3">
            <w:pPr>
              <w:pStyle w:val="NormalWeb"/>
              <w:jc w:val="center"/>
              <w:rPr>
                <w:color w:val="FFFFFF" w:themeColor="background1"/>
              </w:rPr>
            </w:pPr>
            <w:r w:rsidRPr="008E62F4">
              <w:rPr>
                <w:color w:val="FFFFFF" w:themeColor="background1"/>
              </w:rPr>
              <w:t>(not ICU or died)</w:t>
            </w:r>
          </w:p>
        </w:tc>
        <w:tc>
          <w:tcPr>
            <w:tcW w:w="1980" w:type="dxa"/>
            <w:tcBorders>
              <w:top w:val="single" w:sz="2" w:space="0" w:color="FFFFFF" w:themeColor="background1"/>
              <w:left w:val="single" w:sz="2" w:space="0" w:color="FFFFFF" w:themeColor="background1"/>
              <w:right w:val="single" w:sz="2" w:space="0" w:color="FFFFFF" w:themeColor="background1"/>
            </w:tcBorders>
            <w:hideMark/>
          </w:tcPr>
          <w:p w14:paraId="4C58B691" w14:textId="2BEC6623" w:rsidR="00B95BF1" w:rsidRPr="008E62F4" w:rsidRDefault="00B95BF1" w:rsidP="00CD71A3">
            <w:pPr>
              <w:pStyle w:val="NormalWeb"/>
              <w:jc w:val="center"/>
              <w:rPr>
                <w:color w:val="FFFFFF" w:themeColor="background1"/>
              </w:rPr>
            </w:pPr>
            <w:r w:rsidRPr="008E62F4">
              <w:rPr>
                <w:color w:val="FFFFFF" w:themeColor="background1"/>
              </w:rPr>
              <w:t>(not</w:t>
            </w:r>
            <w:r w:rsidR="00D1211B">
              <w:rPr>
                <w:color w:val="FFFFFF" w:themeColor="background1"/>
              </w:rPr>
              <w:t xml:space="preserve"> </w:t>
            </w:r>
            <w:r w:rsidRPr="008E62F4">
              <w:rPr>
                <w:color w:val="FFFFFF" w:themeColor="background1"/>
              </w:rPr>
              <w:t>died</w:t>
            </w:r>
            <w:r w:rsidR="00D1211B">
              <w:rPr>
                <w:color w:val="FFFFFF" w:themeColor="background1"/>
              </w:rPr>
              <w:t>)</w:t>
            </w:r>
          </w:p>
        </w:tc>
        <w:tc>
          <w:tcPr>
            <w:tcW w:w="1782" w:type="dxa"/>
            <w:vMerge/>
            <w:tcBorders>
              <w:top w:val="single" w:sz="2" w:space="0" w:color="FFFFFF" w:themeColor="background1"/>
              <w:left w:val="single" w:sz="2" w:space="0" w:color="FFFFFF" w:themeColor="background1"/>
            </w:tcBorders>
            <w:hideMark/>
          </w:tcPr>
          <w:p w14:paraId="0260AE53" w14:textId="77777777" w:rsidR="00B95BF1" w:rsidRPr="008E62F4" w:rsidRDefault="00B95BF1" w:rsidP="00CD71A3">
            <w:pPr>
              <w:jc w:val="center"/>
              <w:rPr>
                <w:color w:val="FFFFFF" w:themeColor="background1"/>
                <w:sz w:val="24"/>
                <w:szCs w:val="24"/>
              </w:rPr>
            </w:pPr>
          </w:p>
        </w:tc>
      </w:tr>
      <w:tr w:rsidR="00B95BF1" w14:paraId="60AFF951" w14:textId="77777777" w:rsidTr="00B95BF1">
        <w:tblPrEx>
          <w:tblCellMar>
            <w:top w:w="57" w:type="dxa"/>
            <w:left w:w="57" w:type="dxa"/>
            <w:bottom w:w="57" w:type="dxa"/>
            <w:right w:w="57" w:type="dxa"/>
          </w:tblCellMar>
        </w:tblPrEx>
        <w:tc>
          <w:tcPr>
            <w:tcW w:w="0" w:type="auto"/>
            <w:hideMark/>
          </w:tcPr>
          <w:p w14:paraId="3CA100A4" w14:textId="77777777" w:rsidR="00B95BF1" w:rsidRDefault="00B95BF1" w:rsidP="00CD71A3">
            <w:pPr>
              <w:pStyle w:val="NormalWeb"/>
            </w:pPr>
            <w:r>
              <w:t>0-9</w:t>
            </w:r>
          </w:p>
        </w:tc>
        <w:tc>
          <w:tcPr>
            <w:tcW w:w="0" w:type="auto"/>
            <w:hideMark/>
          </w:tcPr>
          <w:p w14:paraId="07A263D5" w14:textId="77777777" w:rsidR="00B95BF1" w:rsidRDefault="00B95BF1" w:rsidP="00CD71A3">
            <w:pPr>
              <w:pStyle w:val="NormalWeb"/>
              <w:jc w:val="center"/>
            </w:pPr>
            <w:r>
              <w:t>1,437</w:t>
            </w:r>
          </w:p>
        </w:tc>
        <w:tc>
          <w:tcPr>
            <w:tcW w:w="2092" w:type="dxa"/>
            <w:hideMark/>
          </w:tcPr>
          <w:p w14:paraId="7BDC8418" w14:textId="77777777" w:rsidR="00B95BF1" w:rsidRDefault="00B95BF1" w:rsidP="00CD71A3">
            <w:pPr>
              <w:pStyle w:val="NormalWeb"/>
              <w:jc w:val="center"/>
            </w:pPr>
            <w:r>
              <w:t>51</w:t>
            </w:r>
          </w:p>
        </w:tc>
        <w:tc>
          <w:tcPr>
            <w:tcW w:w="1800" w:type="dxa"/>
            <w:hideMark/>
          </w:tcPr>
          <w:p w14:paraId="55C482E1" w14:textId="77777777" w:rsidR="00B95BF1" w:rsidRDefault="00B95BF1" w:rsidP="00CD71A3">
            <w:pPr>
              <w:pStyle w:val="NormalWeb"/>
              <w:jc w:val="center"/>
            </w:pPr>
            <w:r>
              <w:t>1</w:t>
            </w:r>
          </w:p>
        </w:tc>
        <w:tc>
          <w:tcPr>
            <w:tcW w:w="900" w:type="dxa"/>
            <w:hideMark/>
          </w:tcPr>
          <w:p w14:paraId="6EDDDCCF" w14:textId="77777777" w:rsidR="00B95BF1" w:rsidRDefault="00B95BF1" w:rsidP="00CD71A3">
            <w:pPr>
              <w:pStyle w:val="NormalWeb"/>
              <w:jc w:val="center"/>
            </w:pPr>
            <w:r>
              <w:t>0</w:t>
            </w:r>
          </w:p>
        </w:tc>
        <w:tc>
          <w:tcPr>
            <w:tcW w:w="1440" w:type="dxa"/>
            <w:hideMark/>
          </w:tcPr>
          <w:p w14:paraId="506CE0B1" w14:textId="77777777" w:rsidR="00B95BF1" w:rsidRDefault="00B95BF1" w:rsidP="00CD71A3">
            <w:pPr>
              <w:pStyle w:val="NormalWeb"/>
              <w:jc w:val="center"/>
            </w:pPr>
            <w:r>
              <w:t>1,489</w:t>
            </w:r>
          </w:p>
        </w:tc>
        <w:tc>
          <w:tcPr>
            <w:tcW w:w="2340" w:type="dxa"/>
            <w:hideMark/>
          </w:tcPr>
          <w:p w14:paraId="7BF4CAED" w14:textId="77777777" w:rsidR="00B95BF1" w:rsidRDefault="00B95BF1" w:rsidP="00CD71A3">
            <w:pPr>
              <w:pStyle w:val="NormalWeb"/>
              <w:jc w:val="center"/>
            </w:pPr>
            <w:r>
              <w:t>3%</w:t>
            </w:r>
          </w:p>
        </w:tc>
        <w:tc>
          <w:tcPr>
            <w:tcW w:w="1980" w:type="dxa"/>
            <w:hideMark/>
          </w:tcPr>
          <w:p w14:paraId="7919E420" w14:textId="27171AF1" w:rsidR="00B95BF1" w:rsidRDefault="00B95BF1" w:rsidP="00CD71A3">
            <w:pPr>
              <w:pStyle w:val="NormalWeb"/>
              <w:jc w:val="center"/>
            </w:pPr>
            <w:r>
              <w:t>&lt;</w:t>
            </w:r>
            <w:r w:rsidR="00D1211B">
              <w:t xml:space="preserve"> </w:t>
            </w:r>
            <w:r>
              <w:t>1%</w:t>
            </w:r>
          </w:p>
        </w:tc>
        <w:tc>
          <w:tcPr>
            <w:tcW w:w="1782" w:type="dxa"/>
            <w:hideMark/>
          </w:tcPr>
          <w:p w14:paraId="71518D8B" w14:textId="77777777" w:rsidR="00B95BF1" w:rsidRDefault="00B95BF1" w:rsidP="00CD71A3">
            <w:pPr>
              <w:pStyle w:val="NormalWeb"/>
              <w:jc w:val="center"/>
            </w:pPr>
            <w:r>
              <w:t>0%</w:t>
            </w:r>
          </w:p>
        </w:tc>
      </w:tr>
      <w:tr w:rsidR="00B95BF1" w14:paraId="24B576F4"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59FC80F3" w14:textId="77777777" w:rsidR="00B95BF1" w:rsidRDefault="00B95BF1" w:rsidP="00CD71A3">
            <w:pPr>
              <w:pStyle w:val="NormalWeb"/>
            </w:pPr>
            <w:r>
              <w:t>10-19</w:t>
            </w:r>
          </w:p>
        </w:tc>
        <w:tc>
          <w:tcPr>
            <w:tcW w:w="0" w:type="auto"/>
            <w:hideMark/>
          </w:tcPr>
          <w:p w14:paraId="46EBD307" w14:textId="77777777" w:rsidR="00B95BF1" w:rsidRDefault="00B95BF1" w:rsidP="00CD71A3">
            <w:pPr>
              <w:pStyle w:val="NormalWeb"/>
              <w:jc w:val="center"/>
            </w:pPr>
            <w:r>
              <w:t>1,973</w:t>
            </w:r>
          </w:p>
        </w:tc>
        <w:tc>
          <w:tcPr>
            <w:tcW w:w="2092" w:type="dxa"/>
            <w:hideMark/>
          </w:tcPr>
          <w:p w14:paraId="600B8AD5" w14:textId="77777777" w:rsidR="00B95BF1" w:rsidRDefault="00B95BF1" w:rsidP="00CD71A3">
            <w:pPr>
              <w:pStyle w:val="NormalWeb"/>
              <w:jc w:val="center"/>
            </w:pPr>
            <w:r>
              <w:t>70</w:t>
            </w:r>
          </w:p>
        </w:tc>
        <w:tc>
          <w:tcPr>
            <w:tcW w:w="1800" w:type="dxa"/>
            <w:hideMark/>
          </w:tcPr>
          <w:p w14:paraId="35D9FEAC" w14:textId="77777777" w:rsidR="00B95BF1" w:rsidRDefault="00B95BF1" w:rsidP="00CD71A3">
            <w:pPr>
              <w:pStyle w:val="NormalWeb"/>
              <w:jc w:val="center"/>
            </w:pPr>
            <w:r>
              <w:t>8</w:t>
            </w:r>
          </w:p>
        </w:tc>
        <w:tc>
          <w:tcPr>
            <w:tcW w:w="900" w:type="dxa"/>
            <w:hideMark/>
          </w:tcPr>
          <w:p w14:paraId="070BD88A" w14:textId="77777777" w:rsidR="00B95BF1" w:rsidRDefault="00B95BF1" w:rsidP="00CD71A3">
            <w:pPr>
              <w:pStyle w:val="NormalWeb"/>
              <w:jc w:val="center"/>
            </w:pPr>
            <w:r>
              <w:t>1</w:t>
            </w:r>
          </w:p>
        </w:tc>
        <w:tc>
          <w:tcPr>
            <w:tcW w:w="1440" w:type="dxa"/>
            <w:hideMark/>
          </w:tcPr>
          <w:p w14:paraId="6C7EE79E" w14:textId="77777777" w:rsidR="00B95BF1" w:rsidRDefault="00B95BF1" w:rsidP="00CD71A3">
            <w:pPr>
              <w:pStyle w:val="NormalWeb"/>
              <w:jc w:val="center"/>
            </w:pPr>
            <w:r>
              <w:t>2,052</w:t>
            </w:r>
          </w:p>
        </w:tc>
        <w:tc>
          <w:tcPr>
            <w:tcW w:w="2340" w:type="dxa"/>
            <w:hideMark/>
          </w:tcPr>
          <w:p w14:paraId="5B888F29" w14:textId="77777777" w:rsidR="00B95BF1" w:rsidRDefault="00B95BF1" w:rsidP="00CD71A3">
            <w:pPr>
              <w:pStyle w:val="NormalWeb"/>
              <w:jc w:val="center"/>
            </w:pPr>
            <w:r>
              <w:t>3%</w:t>
            </w:r>
          </w:p>
        </w:tc>
        <w:tc>
          <w:tcPr>
            <w:tcW w:w="1980" w:type="dxa"/>
            <w:hideMark/>
          </w:tcPr>
          <w:p w14:paraId="20E8EDFD" w14:textId="3C715B4E" w:rsidR="00B95BF1" w:rsidRDefault="00B95BF1" w:rsidP="00CD71A3">
            <w:pPr>
              <w:pStyle w:val="NormalWeb"/>
              <w:jc w:val="center"/>
            </w:pPr>
            <w:r>
              <w:t>&lt;</w:t>
            </w:r>
            <w:r w:rsidR="00D1211B">
              <w:t xml:space="preserve"> </w:t>
            </w:r>
            <w:r>
              <w:t>1%</w:t>
            </w:r>
          </w:p>
        </w:tc>
        <w:tc>
          <w:tcPr>
            <w:tcW w:w="1782" w:type="dxa"/>
            <w:hideMark/>
          </w:tcPr>
          <w:p w14:paraId="22FED170" w14:textId="63C88B50" w:rsidR="00B95BF1" w:rsidRDefault="00B95BF1" w:rsidP="00CD71A3">
            <w:pPr>
              <w:pStyle w:val="NormalWeb"/>
              <w:jc w:val="center"/>
            </w:pPr>
            <w:r>
              <w:t>&lt;</w:t>
            </w:r>
            <w:r w:rsidR="00D1211B">
              <w:t xml:space="preserve"> </w:t>
            </w:r>
            <w:r>
              <w:t>1%</w:t>
            </w:r>
          </w:p>
        </w:tc>
      </w:tr>
      <w:tr w:rsidR="00B95BF1" w14:paraId="41B64432" w14:textId="77777777" w:rsidTr="00B95BF1">
        <w:tblPrEx>
          <w:tblCellMar>
            <w:top w:w="57" w:type="dxa"/>
            <w:left w:w="57" w:type="dxa"/>
            <w:bottom w:w="57" w:type="dxa"/>
            <w:right w:w="57" w:type="dxa"/>
          </w:tblCellMar>
        </w:tblPrEx>
        <w:tc>
          <w:tcPr>
            <w:tcW w:w="0" w:type="auto"/>
            <w:hideMark/>
          </w:tcPr>
          <w:p w14:paraId="60A12A22" w14:textId="77777777" w:rsidR="00B95BF1" w:rsidRDefault="00B95BF1" w:rsidP="00CD71A3">
            <w:pPr>
              <w:pStyle w:val="NormalWeb"/>
            </w:pPr>
            <w:r>
              <w:t>20-29</w:t>
            </w:r>
          </w:p>
        </w:tc>
        <w:tc>
          <w:tcPr>
            <w:tcW w:w="0" w:type="auto"/>
            <w:hideMark/>
          </w:tcPr>
          <w:p w14:paraId="21DA3CBC" w14:textId="77777777" w:rsidR="00B95BF1" w:rsidRDefault="00B95BF1" w:rsidP="00CD71A3">
            <w:pPr>
              <w:pStyle w:val="NormalWeb"/>
              <w:jc w:val="center"/>
            </w:pPr>
            <w:r>
              <w:t>2,424</w:t>
            </w:r>
          </w:p>
        </w:tc>
        <w:tc>
          <w:tcPr>
            <w:tcW w:w="2092" w:type="dxa"/>
            <w:hideMark/>
          </w:tcPr>
          <w:p w14:paraId="4C58BEBB" w14:textId="77777777" w:rsidR="00B95BF1" w:rsidRDefault="00B95BF1" w:rsidP="00CD71A3">
            <w:pPr>
              <w:pStyle w:val="NormalWeb"/>
              <w:jc w:val="center"/>
            </w:pPr>
            <w:r>
              <w:t>229</w:t>
            </w:r>
          </w:p>
        </w:tc>
        <w:tc>
          <w:tcPr>
            <w:tcW w:w="1800" w:type="dxa"/>
            <w:hideMark/>
          </w:tcPr>
          <w:p w14:paraId="0399DBE3" w14:textId="77777777" w:rsidR="00B95BF1" w:rsidRDefault="00B95BF1" w:rsidP="00CD71A3">
            <w:pPr>
              <w:pStyle w:val="NormalWeb"/>
              <w:jc w:val="center"/>
            </w:pPr>
            <w:r>
              <w:t>31</w:t>
            </w:r>
          </w:p>
        </w:tc>
        <w:tc>
          <w:tcPr>
            <w:tcW w:w="900" w:type="dxa"/>
            <w:hideMark/>
          </w:tcPr>
          <w:p w14:paraId="40953FAC" w14:textId="77777777" w:rsidR="00B95BF1" w:rsidRDefault="00B95BF1" w:rsidP="00CD71A3">
            <w:pPr>
              <w:pStyle w:val="NormalWeb"/>
              <w:jc w:val="center"/>
            </w:pPr>
            <w:r>
              <w:t>1</w:t>
            </w:r>
          </w:p>
        </w:tc>
        <w:tc>
          <w:tcPr>
            <w:tcW w:w="1440" w:type="dxa"/>
            <w:hideMark/>
          </w:tcPr>
          <w:p w14:paraId="38B889C5" w14:textId="77777777" w:rsidR="00B95BF1" w:rsidRDefault="00B95BF1" w:rsidP="00CD71A3">
            <w:pPr>
              <w:pStyle w:val="NormalWeb"/>
              <w:jc w:val="center"/>
            </w:pPr>
            <w:r>
              <w:t>2,685</w:t>
            </w:r>
          </w:p>
        </w:tc>
        <w:tc>
          <w:tcPr>
            <w:tcW w:w="2340" w:type="dxa"/>
            <w:hideMark/>
          </w:tcPr>
          <w:p w14:paraId="1A8A0DB4" w14:textId="77777777" w:rsidR="00B95BF1" w:rsidRDefault="00B95BF1" w:rsidP="00CD71A3">
            <w:pPr>
              <w:pStyle w:val="NormalWeb"/>
              <w:jc w:val="center"/>
            </w:pPr>
            <w:r>
              <w:t>9%</w:t>
            </w:r>
          </w:p>
        </w:tc>
        <w:tc>
          <w:tcPr>
            <w:tcW w:w="1980" w:type="dxa"/>
            <w:hideMark/>
          </w:tcPr>
          <w:p w14:paraId="3D3C82A4" w14:textId="77777777" w:rsidR="00B95BF1" w:rsidRDefault="00B95BF1" w:rsidP="00CD71A3">
            <w:pPr>
              <w:pStyle w:val="NormalWeb"/>
              <w:jc w:val="center"/>
            </w:pPr>
            <w:r>
              <w:t>1%</w:t>
            </w:r>
          </w:p>
        </w:tc>
        <w:tc>
          <w:tcPr>
            <w:tcW w:w="1782" w:type="dxa"/>
            <w:hideMark/>
          </w:tcPr>
          <w:p w14:paraId="556C95A8" w14:textId="1F955CF2" w:rsidR="00B95BF1" w:rsidRDefault="00B95BF1" w:rsidP="00CD71A3">
            <w:pPr>
              <w:pStyle w:val="NormalWeb"/>
              <w:jc w:val="center"/>
            </w:pPr>
            <w:r>
              <w:t>&lt;</w:t>
            </w:r>
            <w:r w:rsidR="00D1211B">
              <w:t xml:space="preserve"> </w:t>
            </w:r>
            <w:r>
              <w:t>1%</w:t>
            </w:r>
          </w:p>
        </w:tc>
      </w:tr>
      <w:tr w:rsidR="00B95BF1" w14:paraId="2F6E9E7F"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862F6CD" w14:textId="77777777" w:rsidR="00B95BF1" w:rsidRDefault="00B95BF1" w:rsidP="00CD71A3">
            <w:pPr>
              <w:pStyle w:val="NormalWeb"/>
            </w:pPr>
            <w:r>
              <w:t>30-39</w:t>
            </w:r>
          </w:p>
        </w:tc>
        <w:tc>
          <w:tcPr>
            <w:tcW w:w="0" w:type="auto"/>
            <w:hideMark/>
          </w:tcPr>
          <w:p w14:paraId="57A2D8A2" w14:textId="77777777" w:rsidR="00B95BF1" w:rsidRDefault="00B95BF1" w:rsidP="00CD71A3">
            <w:pPr>
              <w:pStyle w:val="NormalWeb"/>
              <w:jc w:val="center"/>
            </w:pPr>
            <w:r>
              <w:t>1,880</w:t>
            </w:r>
          </w:p>
        </w:tc>
        <w:tc>
          <w:tcPr>
            <w:tcW w:w="2092" w:type="dxa"/>
            <w:hideMark/>
          </w:tcPr>
          <w:p w14:paraId="1D5DA79B" w14:textId="77777777" w:rsidR="00B95BF1" w:rsidRDefault="00B95BF1" w:rsidP="00CD71A3">
            <w:pPr>
              <w:pStyle w:val="NormalWeb"/>
              <w:jc w:val="center"/>
            </w:pPr>
            <w:r>
              <w:t>252</w:t>
            </w:r>
          </w:p>
        </w:tc>
        <w:tc>
          <w:tcPr>
            <w:tcW w:w="1800" w:type="dxa"/>
            <w:hideMark/>
          </w:tcPr>
          <w:p w14:paraId="2CF3963D" w14:textId="77777777" w:rsidR="00B95BF1" w:rsidRDefault="00B95BF1" w:rsidP="00CD71A3">
            <w:pPr>
              <w:pStyle w:val="NormalWeb"/>
              <w:jc w:val="center"/>
            </w:pPr>
            <w:r>
              <w:t>37</w:t>
            </w:r>
          </w:p>
        </w:tc>
        <w:tc>
          <w:tcPr>
            <w:tcW w:w="900" w:type="dxa"/>
            <w:hideMark/>
          </w:tcPr>
          <w:p w14:paraId="17D76D17" w14:textId="77777777" w:rsidR="00B95BF1" w:rsidRDefault="00B95BF1" w:rsidP="00CD71A3">
            <w:pPr>
              <w:pStyle w:val="NormalWeb"/>
              <w:jc w:val="center"/>
            </w:pPr>
            <w:r>
              <w:t>4</w:t>
            </w:r>
          </w:p>
        </w:tc>
        <w:tc>
          <w:tcPr>
            <w:tcW w:w="1440" w:type="dxa"/>
            <w:hideMark/>
          </w:tcPr>
          <w:p w14:paraId="3E80D768" w14:textId="77777777" w:rsidR="00B95BF1" w:rsidRDefault="00B95BF1" w:rsidP="00CD71A3">
            <w:pPr>
              <w:pStyle w:val="NormalWeb"/>
              <w:jc w:val="center"/>
            </w:pPr>
            <w:r>
              <w:t>2,173</w:t>
            </w:r>
          </w:p>
        </w:tc>
        <w:tc>
          <w:tcPr>
            <w:tcW w:w="2340" w:type="dxa"/>
            <w:hideMark/>
          </w:tcPr>
          <w:p w14:paraId="6FD498A1" w14:textId="77777777" w:rsidR="00B95BF1" w:rsidRDefault="00B95BF1" w:rsidP="00CD71A3">
            <w:pPr>
              <w:pStyle w:val="NormalWeb"/>
              <w:jc w:val="center"/>
            </w:pPr>
            <w:r>
              <w:t>12%</w:t>
            </w:r>
          </w:p>
        </w:tc>
        <w:tc>
          <w:tcPr>
            <w:tcW w:w="1980" w:type="dxa"/>
            <w:hideMark/>
          </w:tcPr>
          <w:p w14:paraId="49F04F40" w14:textId="77777777" w:rsidR="00B95BF1" w:rsidRDefault="00B95BF1" w:rsidP="00CD71A3">
            <w:pPr>
              <w:pStyle w:val="NormalWeb"/>
              <w:jc w:val="center"/>
            </w:pPr>
            <w:r>
              <w:t>2%</w:t>
            </w:r>
          </w:p>
        </w:tc>
        <w:tc>
          <w:tcPr>
            <w:tcW w:w="1782" w:type="dxa"/>
            <w:hideMark/>
          </w:tcPr>
          <w:p w14:paraId="231D2058" w14:textId="401B846F" w:rsidR="00B95BF1" w:rsidRDefault="00B95BF1" w:rsidP="00CD71A3">
            <w:pPr>
              <w:pStyle w:val="NormalWeb"/>
              <w:jc w:val="center"/>
            </w:pPr>
            <w:r>
              <w:t>&lt;</w:t>
            </w:r>
            <w:r w:rsidR="00D1211B">
              <w:t xml:space="preserve"> </w:t>
            </w:r>
            <w:r>
              <w:t>1%</w:t>
            </w:r>
          </w:p>
        </w:tc>
      </w:tr>
      <w:tr w:rsidR="00B95BF1" w14:paraId="44EBDFE5" w14:textId="77777777" w:rsidTr="00B95BF1">
        <w:tblPrEx>
          <w:tblCellMar>
            <w:top w:w="57" w:type="dxa"/>
            <w:left w:w="57" w:type="dxa"/>
            <w:bottom w:w="57" w:type="dxa"/>
            <w:right w:w="57" w:type="dxa"/>
          </w:tblCellMar>
        </w:tblPrEx>
        <w:tc>
          <w:tcPr>
            <w:tcW w:w="0" w:type="auto"/>
            <w:hideMark/>
          </w:tcPr>
          <w:p w14:paraId="41C32F66" w14:textId="77777777" w:rsidR="00B95BF1" w:rsidRDefault="00B95BF1" w:rsidP="00CD71A3">
            <w:pPr>
              <w:pStyle w:val="NormalWeb"/>
            </w:pPr>
            <w:r>
              <w:t>40-49</w:t>
            </w:r>
          </w:p>
        </w:tc>
        <w:tc>
          <w:tcPr>
            <w:tcW w:w="0" w:type="auto"/>
            <w:hideMark/>
          </w:tcPr>
          <w:p w14:paraId="77FE3DE8" w14:textId="77777777" w:rsidR="00B95BF1" w:rsidRDefault="00B95BF1" w:rsidP="00CD71A3">
            <w:pPr>
              <w:pStyle w:val="NormalWeb"/>
              <w:jc w:val="center"/>
            </w:pPr>
            <w:r>
              <w:t>1,225</w:t>
            </w:r>
          </w:p>
        </w:tc>
        <w:tc>
          <w:tcPr>
            <w:tcW w:w="2092" w:type="dxa"/>
            <w:hideMark/>
          </w:tcPr>
          <w:p w14:paraId="6F99F606" w14:textId="77777777" w:rsidR="00B95BF1" w:rsidRDefault="00B95BF1" w:rsidP="00CD71A3">
            <w:pPr>
              <w:pStyle w:val="NormalWeb"/>
              <w:jc w:val="center"/>
            </w:pPr>
            <w:r>
              <w:t>222</w:t>
            </w:r>
          </w:p>
        </w:tc>
        <w:tc>
          <w:tcPr>
            <w:tcW w:w="1800" w:type="dxa"/>
            <w:hideMark/>
          </w:tcPr>
          <w:p w14:paraId="0080310E" w14:textId="77777777" w:rsidR="00B95BF1" w:rsidRDefault="00B95BF1" w:rsidP="00CD71A3">
            <w:pPr>
              <w:pStyle w:val="NormalWeb"/>
              <w:jc w:val="center"/>
            </w:pPr>
            <w:r>
              <w:t>45</w:t>
            </w:r>
          </w:p>
        </w:tc>
        <w:tc>
          <w:tcPr>
            <w:tcW w:w="900" w:type="dxa"/>
            <w:hideMark/>
          </w:tcPr>
          <w:p w14:paraId="50E696B7" w14:textId="77777777" w:rsidR="00B95BF1" w:rsidRDefault="00B95BF1" w:rsidP="00CD71A3">
            <w:pPr>
              <w:pStyle w:val="NormalWeb"/>
              <w:jc w:val="center"/>
            </w:pPr>
            <w:r>
              <w:t>3</w:t>
            </w:r>
          </w:p>
        </w:tc>
        <w:tc>
          <w:tcPr>
            <w:tcW w:w="1440" w:type="dxa"/>
            <w:hideMark/>
          </w:tcPr>
          <w:p w14:paraId="3930BFE7" w14:textId="77777777" w:rsidR="00B95BF1" w:rsidRDefault="00B95BF1" w:rsidP="00CD71A3">
            <w:pPr>
              <w:pStyle w:val="NormalWeb"/>
              <w:jc w:val="center"/>
            </w:pPr>
            <w:r>
              <w:t>1,495</w:t>
            </w:r>
          </w:p>
        </w:tc>
        <w:tc>
          <w:tcPr>
            <w:tcW w:w="2340" w:type="dxa"/>
            <w:hideMark/>
          </w:tcPr>
          <w:p w14:paraId="1E3EC28F" w14:textId="77777777" w:rsidR="00B95BF1" w:rsidRDefault="00B95BF1" w:rsidP="00CD71A3">
            <w:pPr>
              <w:pStyle w:val="NormalWeb"/>
              <w:jc w:val="center"/>
            </w:pPr>
            <w:r>
              <w:t>15%</w:t>
            </w:r>
          </w:p>
        </w:tc>
        <w:tc>
          <w:tcPr>
            <w:tcW w:w="1980" w:type="dxa"/>
            <w:hideMark/>
          </w:tcPr>
          <w:p w14:paraId="68BA9FEB" w14:textId="77777777" w:rsidR="00B95BF1" w:rsidRDefault="00B95BF1" w:rsidP="00CD71A3">
            <w:pPr>
              <w:pStyle w:val="NormalWeb"/>
              <w:jc w:val="center"/>
            </w:pPr>
            <w:r>
              <w:t>3%</w:t>
            </w:r>
          </w:p>
        </w:tc>
        <w:tc>
          <w:tcPr>
            <w:tcW w:w="1782" w:type="dxa"/>
            <w:hideMark/>
          </w:tcPr>
          <w:p w14:paraId="5A95EE82" w14:textId="7AB46BF7" w:rsidR="00B95BF1" w:rsidRDefault="00B95BF1" w:rsidP="00CD71A3">
            <w:pPr>
              <w:pStyle w:val="NormalWeb"/>
              <w:jc w:val="center"/>
            </w:pPr>
            <w:r>
              <w:t>&lt;</w:t>
            </w:r>
            <w:r w:rsidR="00D1211B">
              <w:t xml:space="preserve"> </w:t>
            </w:r>
            <w:r>
              <w:t>1%</w:t>
            </w:r>
          </w:p>
        </w:tc>
      </w:tr>
      <w:tr w:rsidR="00B95BF1" w14:paraId="3DF55F84"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27F938E6" w14:textId="77777777" w:rsidR="00B95BF1" w:rsidRDefault="00B95BF1" w:rsidP="00CD71A3">
            <w:pPr>
              <w:pStyle w:val="NormalWeb"/>
            </w:pPr>
            <w:r>
              <w:t>50-59</w:t>
            </w:r>
          </w:p>
        </w:tc>
        <w:tc>
          <w:tcPr>
            <w:tcW w:w="0" w:type="auto"/>
            <w:hideMark/>
          </w:tcPr>
          <w:p w14:paraId="1F0887D4" w14:textId="77777777" w:rsidR="00B95BF1" w:rsidRDefault="00B95BF1" w:rsidP="00CD71A3">
            <w:pPr>
              <w:pStyle w:val="NormalWeb"/>
              <w:jc w:val="center"/>
            </w:pPr>
            <w:r>
              <w:t>942</w:t>
            </w:r>
          </w:p>
        </w:tc>
        <w:tc>
          <w:tcPr>
            <w:tcW w:w="2092" w:type="dxa"/>
            <w:hideMark/>
          </w:tcPr>
          <w:p w14:paraId="254F934E" w14:textId="77777777" w:rsidR="00B95BF1" w:rsidRDefault="00B95BF1" w:rsidP="00CD71A3">
            <w:pPr>
              <w:pStyle w:val="NormalWeb"/>
              <w:jc w:val="center"/>
            </w:pPr>
            <w:r>
              <w:t>225</w:t>
            </w:r>
          </w:p>
        </w:tc>
        <w:tc>
          <w:tcPr>
            <w:tcW w:w="1800" w:type="dxa"/>
            <w:hideMark/>
          </w:tcPr>
          <w:p w14:paraId="78D2CF28" w14:textId="77777777" w:rsidR="00B95BF1" w:rsidRDefault="00B95BF1" w:rsidP="00CD71A3">
            <w:pPr>
              <w:pStyle w:val="NormalWeb"/>
              <w:jc w:val="center"/>
            </w:pPr>
            <w:r>
              <w:t>78</w:t>
            </w:r>
          </w:p>
        </w:tc>
        <w:tc>
          <w:tcPr>
            <w:tcW w:w="900" w:type="dxa"/>
            <w:hideMark/>
          </w:tcPr>
          <w:p w14:paraId="4A6217BC" w14:textId="77777777" w:rsidR="00B95BF1" w:rsidRDefault="00B95BF1" w:rsidP="00CD71A3">
            <w:pPr>
              <w:pStyle w:val="NormalWeb"/>
              <w:jc w:val="center"/>
            </w:pPr>
            <w:r>
              <w:t>2</w:t>
            </w:r>
          </w:p>
        </w:tc>
        <w:tc>
          <w:tcPr>
            <w:tcW w:w="1440" w:type="dxa"/>
            <w:hideMark/>
          </w:tcPr>
          <w:p w14:paraId="303557D9" w14:textId="77777777" w:rsidR="00B95BF1" w:rsidRDefault="00B95BF1" w:rsidP="00CD71A3">
            <w:pPr>
              <w:pStyle w:val="NormalWeb"/>
              <w:jc w:val="center"/>
            </w:pPr>
            <w:r>
              <w:t>1,247</w:t>
            </w:r>
          </w:p>
        </w:tc>
        <w:tc>
          <w:tcPr>
            <w:tcW w:w="2340" w:type="dxa"/>
            <w:hideMark/>
          </w:tcPr>
          <w:p w14:paraId="0977DD6D" w14:textId="77777777" w:rsidR="00B95BF1" w:rsidRDefault="00B95BF1" w:rsidP="00CD71A3">
            <w:pPr>
              <w:pStyle w:val="NormalWeb"/>
              <w:jc w:val="center"/>
            </w:pPr>
            <w:r>
              <w:t>18%</w:t>
            </w:r>
          </w:p>
        </w:tc>
        <w:tc>
          <w:tcPr>
            <w:tcW w:w="1980" w:type="dxa"/>
            <w:hideMark/>
          </w:tcPr>
          <w:p w14:paraId="56765DE9" w14:textId="77777777" w:rsidR="00B95BF1" w:rsidRDefault="00B95BF1" w:rsidP="00CD71A3">
            <w:pPr>
              <w:pStyle w:val="NormalWeb"/>
              <w:jc w:val="center"/>
            </w:pPr>
            <w:r>
              <w:t>6%</w:t>
            </w:r>
          </w:p>
        </w:tc>
        <w:tc>
          <w:tcPr>
            <w:tcW w:w="1782" w:type="dxa"/>
            <w:hideMark/>
          </w:tcPr>
          <w:p w14:paraId="15FDA025" w14:textId="769ED42B" w:rsidR="00B95BF1" w:rsidRDefault="00B95BF1" w:rsidP="00CD71A3">
            <w:pPr>
              <w:pStyle w:val="NormalWeb"/>
              <w:jc w:val="center"/>
            </w:pPr>
            <w:r>
              <w:t>&lt;</w:t>
            </w:r>
            <w:r w:rsidR="00D1211B">
              <w:t xml:space="preserve"> </w:t>
            </w:r>
            <w:r>
              <w:t>1%</w:t>
            </w:r>
          </w:p>
        </w:tc>
      </w:tr>
      <w:tr w:rsidR="00B95BF1" w14:paraId="5237394F" w14:textId="77777777" w:rsidTr="00B95BF1">
        <w:tblPrEx>
          <w:tblCellMar>
            <w:top w:w="57" w:type="dxa"/>
            <w:left w:w="57" w:type="dxa"/>
            <w:bottom w:w="57" w:type="dxa"/>
            <w:right w:w="57" w:type="dxa"/>
          </w:tblCellMar>
        </w:tblPrEx>
        <w:tc>
          <w:tcPr>
            <w:tcW w:w="0" w:type="auto"/>
            <w:hideMark/>
          </w:tcPr>
          <w:p w14:paraId="095E2E03" w14:textId="77777777" w:rsidR="00B95BF1" w:rsidRDefault="00B95BF1" w:rsidP="00CD71A3">
            <w:pPr>
              <w:pStyle w:val="NormalWeb"/>
            </w:pPr>
            <w:r>
              <w:t>60-69</w:t>
            </w:r>
          </w:p>
        </w:tc>
        <w:tc>
          <w:tcPr>
            <w:tcW w:w="0" w:type="auto"/>
            <w:hideMark/>
          </w:tcPr>
          <w:p w14:paraId="7D17E182" w14:textId="77777777" w:rsidR="00B95BF1" w:rsidRDefault="00B95BF1" w:rsidP="00CD71A3">
            <w:pPr>
              <w:pStyle w:val="NormalWeb"/>
              <w:jc w:val="center"/>
            </w:pPr>
            <w:r>
              <w:t>426</w:t>
            </w:r>
          </w:p>
        </w:tc>
        <w:tc>
          <w:tcPr>
            <w:tcW w:w="2092" w:type="dxa"/>
            <w:hideMark/>
          </w:tcPr>
          <w:p w14:paraId="18332FD1" w14:textId="77777777" w:rsidR="00B95BF1" w:rsidRDefault="00B95BF1" w:rsidP="00CD71A3">
            <w:pPr>
              <w:pStyle w:val="NormalWeb"/>
              <w:jc w:val="center"/>
            </w:pPr>
            <w:r>
              <w:t>135</w:t>
            </w:r>
          </w:p>
        </w:tc>
        <w:tc>
          <w:tcPr>
            <w:tcW w:w="1800" w:type="dxa"/>
            <w:hideMark/>
          </w:tcPr>
          <w:p w14:paraId="7EBE1480" w14:textId="77777777" w:rsidR="00B95BF1" w:rsidRDefault="00B95BF1" w:rsidP="00CD71A3">
            <w:pPr>
              <w:pStyle w:val="NormalWeb"/>
              <w:jc w:val="center"/>
            </w:pPr>
            <w:r>
              <w:t>57</w:t>
            </w:r>
          </w:p>
        </w:tc>
        <w:tc>
          <w:tcPr>
            <w:tcW w:w="900" w:type="dxa"/>
            <w:hideMark/>
          </w:tcPr>
          <w:p w14:paraId="5D257FD0" w14:textId="77777777" w:rsidR="00B95BF1" w:rsidRDefault="00B95BF1" w:rsidP="00CD71A3">
            <w:pPr>
              <w:pStyle w:val="NormalWeb"/>
              <w:jc w:val="center"/>
            </w:pPr>
            <w:r>
              <w:t>9</w:t>
            </w:r>
          </w:p>
        </w:tc>
        <w:tc>
          <w:tcPr>
            <w:tcW w:w="1440" w:type="dxa"/>
            <w:hideMark/>
          </w:tcPr>
          <w:p w14:paraId="02A53E96" w14:textId="77777777" w:rsidR="00B95BF1" w:rsidRDefault="00B95BF1" w:rsidP="00CD71A3">
            <w:pPr>
              <w:pStyle w:val="NormalWeb"/>
              <w:jc w:val="center"/>
            </w:pPr>
            <w:r>
              <w:t>627</w:t>
            </w:r>
          </w:p>
        </w:tc>
        <w:tc>
          <w:tcPr>
            <w:tcW w:w="2340" w:type="dxa"/>
            <w:hideMark/>
          </w:tcPr>
          <w:p w14:paraId="185EA2D0" w14:textId="77777777" w:rsidR="00B95BF1" w:rsidRDefault="00B95BF1" w:rsidP="00CD71A3">
            <w:pPr>
              <w:pStyle w:val="NormalWeb"/>
              <w:jc w:val="center"/>
            </w:pPr>
            <w:r>
              <w:t>22%</w:t>
            </w:r>
          </w:p>
        </w:tc>
        <w:tc>
          <w:tcPr>
            <w:tcW w:w="1980" w:type="dxa"/>
            <w:hideMark/>
          </w:tcPr>
          <w:p w14:paraId="0198C063" w14:textId="77777777" w:rsidR="00B95BF1" w:rsidRDefault="00B95BF1" w:rsidP="00CD71A3">
            <w:pPr>
              <w:pStyle w:val="NormalWeb"/>
              <w:jc w:val="center"/>
            </w:pPr>
            <w:r>
              <w:t>9%</w:t>
            </w:r>
          </w:p>
        </w:tc>
        <w:tc>
          <w:tcPr>
            <w:tcW w:w="1782" w:type="dxa"/>
            <w:hideMark/>
          </w:tcPr>
          <w:p w14:paraId="5C1950A2" w14:textId="77777777" w:rsidR="00B95BF1" w:rsidRDefault="00B95BF1" w:rsidP="00CD71A3">
            <w:pPr>
              <w:pStyle w:val="NormalWeb"/>
              <w:jc w:val="center"/>
            </w:pPr>
            <w:r>
              <w:t>1%</w:t>
            </w:r>
          </w:p>
        </w:tc>
      </w:tr>
      <w:tr w:rsidR="00B95BF1" w14:paraId="5CD2F965"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2B9E6491" w14:textId="77777777" w:rsidR="00B95BF1" w:rsidRDefault="00B95BF1" w:rsidP="00CD71A3">
            <w:pPr>
              <w:pStyle w:val="NormalWeb"/>
            </w:pPr>
            <w:r>
              <w:t>70-79</w:t>
            </w:r>
          </w:p>
        </w:tc>
        <w:tc>
          <w:tcPr>
            <w:tcW w:w="0" w:type="auto"/>
            <w:hideMark/>
          </w:tcPr>
          <w:p w14:paraId="7684D27C" w14:textId="77777777" w:rsidR="00B95BF1" w:rsidRDefault="00B95BF1" w:rsidP="00CD71A3">
            <w:pPr>
              <w:pStyle w:val="NormalWeb"/>
              <w:jc w:val="center"/>
            </w:pPr>
            <w:r>
              <w:t>129</w:t>
            </w:r>
          </w:p>
        </w:tc>
        <w:tc>
          <w:tcPr>
            <w:tcW w:w="2092" w:type="dxa"/>
            <w:hideMark/>
          </w:tcPr>
          <w:p w14:paraId="608BC7A5" w14:textId="77777777" w:rsidR="00B95BF1" w:rsidRDefault="00B95BF1" w:rsidP="00CD71A3">
            <w:pPr>
              <w:pStyle w:val="NormalWeb"/>
              <w:jc w:val="center"/>
            </w:pPr>
            <w:r>
              <w:t>99</w:t>
            </w:r>
          </w:p>
        </w:tc>
        <w:tc>
          <w:tcPr>
            <w:tcW w:w="1800" w:type="dxa"/>
            <w:hideMark/>
          </w:tcPr>
          <w:p w14:paraId="6D76F4A8" w14:textId="77777777" w:rsidR="00B95BF1" w:rsidRDefault="00B95BF1" w:rsidP="00CD71A3">
            <w:pPr>
              <w:pStyle w:val="NormalWeb"/>
              <w:jc w:val="center"/>
            </w:pPr>
            <w:r>
              <w:t>39</w:t>
            </w:r>
          </w:p>
        </w:tc>
        <w:tc>
          <w:tcPr>
            <w:tcW w:w="900" w:type="dxa"/>
            <w:hideMark/>
          </w:tcPr>
          <w:p w14:paraId="0794CA92" w14:textId="77777777" w:rsidR="00B95BF1" w:rsidRDefault="00B95BF1" w:rsidP="00CD71A3">
            <w:pPr>
              <w:pStyle w:val="NormalWeb"/>
              <w:jc w:val="center"/>
            </w:pPr>
            <w:r>
              <w:t>19</w:t>
            </w:r>
          </w:p>
        </w:tc>
        <w:tc>
          <w:tcPr>
            <w:tcW w:w="1440" w:type="dxa"/>
            <w:hideMark/>
          </w:tcPr>
          <w:p w14:paraId="722BE820" w14:textId="77777777" w:rsidR="00B95BF1" w:rsidRDefault="00B95BF1" w:rsidP="00CD71A3">
            <w:pPr>
              <w:pStyle w:val="NormalWeb"/>
              <w:jc w:val="center"/>
            </w:pPr>
            <w:r>
              <w:t>286</w:t>
            </w:r>
          </w:p>
        </w:tc>
        <w:tc>
          <w:tcPr>
            <w:tcW w:w="2340" w:type="dxa"/>
            <w:hideMark/>
          </w:tcPr>
          <w:p w14:paraId="19751075" w14:textId="77777777" w:rsidR="00B95BF1" w:rsidRDefault="00B95BF1" w:rsidP="00CD71A3">
            <w:pPr>
              <w:pStyle w:val="NormalWeb"/>
              <w:jc w:val="center"/>
            </w:pPr>
            <w:r>
              <w:t>35%</w:t>
            </w:r>
          </w:p>
        </w:tc>
        <w:tc>
          <w:tcPr>
            <w:tcW w:w="1980" w:type="dxa"/>
            <w:hideMark/>
          </w:tcPr>
          <w:p w14:paraId="3B0523A8" w14:textId="77777777" w:rsidR="00B95BF1" w:rsidRDefault="00B95BF1" w:rsidP="00CD71A3">
            <w:pPr>
              <w:pStyle w:val="NormalWeb"/>
              <w:jc w:val="center"/>
            </w:pPr>
            <w:r>
              <w:t>14%</w:t>
            </w:r>
          </w:p>
        </w:tc>
        <w:tc>
          <w:tcPr>
            <w:tcW w:w="1782" w:type="dxa"/>
            <w:hideMark/>
          </w:tcPr>
          <w:p w14:paraId="4F35C4FD" w14:textId="77777777" w:rsidR="00B95BF1" w:rsidRDefault="00B95BF1" w:rsidP="00CD71A3">
            <w:pPr>
              <w:pStyle w:val="NormalWeb"/>
              <w:jc w:val="center"/>
            </w:pPr>
            <w:r>
              <w:t>7%</w:t>
            </w:r>
          </w:p>
        </w:tc>
      </w:tr>
      <w:tr w:rsidR="00B95BF1" w14:paraId="1F6C7B85" w14:textId="77777777" w:rsidTr="00B95BF1">
        <w:tblPrEx>
          <w:tblCellMar>
            <w:top w:w="57" w:type="dxa"/>
            <w:left w:w="57" w:type="dxa"/>
            <w:bottom w:w="57" w:type="dxa"/>
            <w:right w:w="57" w:type="dxa"/>
          </w:tblCellMar>
        </w:tblPrEx>
        <w:tc>
          <w:tcPr>
            <w:tcW w:w="0" w:type="auto"/>
            <w:hideMark/>
          </w:tcPr>
          <w:p w14:paraId="24B68F94" w14:textId="77777777" w:rsidR="00B95BF1" w:rsidRDefault="00B95BF1" w:rsidP="00CD71A3">
            <w:pPr>
              <w:pStyle w:val="NormalWeb"/>
            </w:pPr>
            <w:r>
              <w:t>80-89</w:t>
            </w:r>
          </w:p>
        </w:tc>
        <w:tc>
          <w:tcPr>
            <w:tcW w:w="0" w:type="auto"/>
            <w:hideMark/>
          </w:tcPr>
          <w:p w14:paraId="0AAEEC39" w14:textId="77777777" w:rsidR="00B95BF1" w:rsidRDefault="00B95BF1" w:rsidP="00CD71A3">
            <w:pPr>
              <w:pStyle w:val="NormalWeb"/>
              <w:jc w:val="center"/>
            </w:pPr>
            <w:r>
              <w:t>42</w:t>
            </w:r>
          </w:p>
        </w:tc>
        <w:tc>
          <w:tcPr>
            <w:tcW w:w="2092" w:type="dxa"/>
            <w:hideMark/>
          </w:tcPr>
          <w:p w14:paraId="73A8F6CF" w14:textId="77777777" w:rsidR="00B95BF1" w:rsidRDefault="00B95BF1" w:rsidP="00CD71A3">
            <w:pPr>
              <w:pStyle w:val="NormalWeb"/>
              <w:jc w:val="center"/>
            </w:pPr>
            <w:r>
              <w:t>75</w:t>
            </w:r>
          </w:p>
        </w:tc>
        <w:tc>
          <w:tcPr>
            <w:tcW w:w="1800" w:type="dxa"/>
            <w:hideMark/>
          </w:tcPr>
          <w:p w14:paraId="34115491" w14:textId="77777777" w:rsidR="00B95BF1" w:rsidRDefault="00B95BF1" w:rsidP="00CD71A3">
            <w:pPr>
              <w:pStyle w:val="NormalWeb"/>
              <w:jc w:val="center"/>
            </w:pPr>
            <w:r>
              <w:t>13</w:t>
            </w:r>
          </w:p>
        </w:tc>
        <w:tc>
          <w:tcPr>
            <w:tcW w:w="900" w:type="dxa"/>
            <w:hideMark/>
          </w:tcPr>
          <w:p w14:paraId="17E611C6" w14:textId="77777777" w:rsidR="00B95BF1" w:rsidRDefault="00B95BF1" w:rsidP="00CD71A3">
            <w:pPr>
              <w:pStyle w:val="NormalWeb"/>
              <w:jc w:val="center"/>
            </w:pPr>
            <w:r>
              <w:t>34</w:t>
            </w:r>
          </w:p>
        </w:tc>
        <w:tc>
          <w:tcPr>
            <w:tcW w:w="1440" w:type="dxa"/>
            <w:hideMark/>
          </w:tcPr>
          <w:p w14:paraId="70449D43" w14:textId="77777777" w:rsidR="00B95BF1" w:rsidRDefault="00B95BF1" w:rsidP="00CD71A3">
            <w:pPr>
              <w:pStyle w:val="NormalWeb"/>
              <w:jc w:val="center"/>
            </w:pPr>
            <w:r>
              <w:t>164</w:t>
            </w:r>
          </w:p>
        </w:tc>
        <w:tc>
          <w:tcPr>
            <w:tcW w:w="2340" w:type="dxa"/>
            <w:hideMark/>
          </w:tcPr>
          <w:p w14:paraId="1352065C" w14:textId="77777777" w:rsidR="00B95BF1" w:rsidRDefault="00B95BF1" w:rsidP="00CD71A3">
            <w:pPr>
              <w:pStyle w:val="NormalWeb"/>
              <w:jc w:val="center"/>
            </w:pPr>
            <w:r>
              <w:t>46%</w:t>
            </w:r>
          </w:p>
        </w:tc>
        <w:tc>
          <w:tcPr>
            <w:tcW w:w="1980" w:type="dxa"/>
            <w:hideMark/>
          </w:tcPr>
          <w:p w14:paraId="4CCAA401" w14:textId="77777777" w:rsidR="00B95BF1" w:rsidRDefault="00B95BF1" w:rsidP="00CD71A3">
            <w:pPr>
              <w:pStyle w:val="NormalWeb"/>
              <w:jc w:val="center"/>
            </w:pPr>
            <w:r>
              <w:t>8%</w:t>
            </w:r>
          </w:p>
        </w:tc>
        <w:tc>
          <w:tcPr>
            <w:tcW w:w="1782" w:type="dxa"/>
            <w:hideMark/>
          </w:tcPr>
          <w:p w14:paraId="15029721" w14:textId="77777777" w:rsidR="00B95BF1" w:rsidRDefault="00B95BF1" w:rsidP="00CD71A3">
            <w:pPr>
              <w:pStyle w:val="NormalWeb"/>
              <w:jc w:val="center"/>
            </w:pPr>
            <w:r>
              <w:t>21%</w:t>
            </w:r>
          </w:p>
        </w:tc>
      </w:tr>
      <w:tr w:rsidR="00B95BF1" w14:paraId="62954782"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FCB6F71" w14:textId="77777777" w:rsidR="00B95BF1" w:rsidRDefault="00B95BF1" w:rsidP="00CD71A3">
            <w:pPr>
              <w:pStyle w:val="NormalWeb"/>
            </w:pPr>
            <w:r>
              <w:t>90+</w:t>
            </w:r>
          </w:p>
        </w:tc>
        <w:tc>
          <w:tcPr>
            <w:tcW w:w="0" w:type="auto"/>
            <w:hideMark/>
          </w:tcPr>
          <w:p w14:paraId="5A7EF886" w14:textId="77777777" w:rsidR="00B95BF1" w:rsidRDefault="00B95BF1" w:rsidP="00CD71A3">
            <w:pPr>
              <w:pStyle w:val="NormalWeb"/>
              <w:jc w:val="center"/>
            </w:pPr>
            <w:r>
              <w:t>8</w:t>
            </w:r>
          </w:p>
        </w:tc>
        <w:tc>
          <w:tcPr>
            <w:tcW w:w="2092" w:type="dxa"/>
            <w:hideMark/>
          </w:tcPr>
          <w:p w14:paraId="5411088A" w14:textId="77777777" w:rsidR="00B95BF1" w:rsidRDefault="00B95BF1" w:rsidP="00CD71A3">
            <w:pPr>
              <w:pStyle w:val="NormalWeb"/>
              <w:jc w:val="center"/>
            </w:pPr>
            <w:r>
              <w:t>28</w:t>
            </w:r>
          </w:p>
        </w:tc>
        <w:tc>
          <w:tcPr>
            <w:tcW w:w="1800" w:type="dxa"/>
            <w:hideMark/>
          </w:tcPr>
          <w:p w14:paraId="2C818A7F" w14:textId="77777777" w:rsidR="00B95BF1" w:rsidRDefault="00B95BF1" w:rsidP="00CD71A3">
            <w:pPr>
              <w:pStyle w:val="NormalWeb"/>
              <w:jc w:val="center"/>
            </w:pPr>
            <w:r>
              <w:t>0</w:t>
            </w:r>
          </w:p>
        </w:tc>
        <w:tc>
          <w:tcPr>
            <w:tcW w:w="900" w:type="dxa"/>
            <w:hideMark/>
          </w:tcPr>
          <w:p w14:paraId="00AB075A" w14:textId="77777777" w:rsidR="00B95BF1" w:rsidRDefault="00B95BF1" w:rsidP="00CD71A3">
            <w:pPr>
              <w:pStyle w:val="NormalWeb"/>
              <w:jc w:val="center"/>
            </w:pPr>
            <w:r>
              <w:t>14</w:t>
            </w:r>
          </w:p>
        </w:tc>
        <w:tc>
          <w:tcPr>
            <w:tcW w:w="1440" w:type="dxa"/>
            <w:hideMark/>
          </w:tcPr>
          <w:p w14:paraId="3C45B9AC" w14:textId="77777777" w:rsidR="00B95BF1" w:rsidRDefault="00B95BF1" w:rsidP="00CD71A3">
            <w:pPr>
              <w:pStyle w:val="NormalWeb"/>
              <w:jc w:val="center"/>
            </w:pPr>
            <w:r>
              <w:t>50</w:t>
            </w:r>
          </w:p>
        </w:tc>
        <w:tc>
          <w:tcPr>
            <w:tcW w:w="2340" w:type="dxa"/>
            <w:hideMark/>
          </w:tcPr>
          <w:p w14:paraId="59F0DB3E" w14:textId="77777777" w:rsidR="00B95BF1" w:rsidRDefault="00B95BF1" w:rsidP="00CD71A3">
            <w:pPr>
              <w:pStyle w:val="NormalWeb"/>
              <w:jc w:val="center"/>
            </w:pPr>
            <w:r>
              <w:t>56%</w:t>
            </w:r>
          </w:p>
        </w:tc>
        <w:tc>
          <w:tcPr>
            <w:tcW w:w="1980" w:type="dxa"/>
            <w:hideMark/>
          </w:tcPr>
          <w:p w14:paraId="0817C413" w14:textId="77777777" w:rsidR="00B95BF1" w:rsidRDefault="00B95BF1" w:rsidP="00CD71A3">
            <w:pPr>
              <w:pStyle w:val="NormalWeb"/>
              <w:jc w:val="center"/>
            </w:pPr>
            <w:r>
              <w:t>0%</w:t>
            </w:r>
          </w:p>
        </w:tc>
        <w:tc>
          <w:tcPr>
            <w:tcW w:w="1782" w:type="dxa"/>
            <w:hideMark/>
          </w:tcPr>
          <w:p w14:paraId="12C9CB9F" w14:textId="77777777" w:rsidR="00B95BF1" w:rsidRDefault="00B95BF1" w:rsidP="00CD71A3">
            <w:pPr>
              <w:pStyle w:val="NormalWeb"/>
              <w:jc w:val="center"/>
            </w:pPr>
            <w:r>
              <w:t>28%</w:t>
            </w:r>
          </w:p>
        </w:tc>
      </w:tr>
      <w:tr w:rsidR="00B95BF1" w14:paraId="6729E9F5" w14:textId="77777777" w:rsidTr="00B95BF1">
        <w:tblPrEx>
          <w:tblCellMar>
            <w:top w:w="57" w:type="dxa"/>
            <w:left w:w="57" w:type="dxa"/>
            <w:bottom w:w="57" w:type="dxa"/>
            <w:right w:w="57" w:type="dxa"/>
          </w:tblCellMar>
        </w:tblPrEx>
        <w:tc>
          <w:tcPr>
            <w:tcW w:w="0" w:type="auto"/>
            <w:hideMark/>
          </w:tcPr>
          <w:p w14:paraId="13E541A3" w14:textId="77777777" w:rsidR="00B95BF1" w:rsidRDefault="00B95BF1" w:rsidP="00CD71A3">
            <w:pPr>
              <w:pStyle w:val="NormalWeb"/>
            </w:pPr>
            <w:r>
              <w:t>Age unknown</w:t>
            </w:r>
          </w:p>
        </w:tc>
        <w:tc>
          <w:tcPr>
            <w:tcW w:w="0" w:type="auto"/>
            <w:hideMark/>
          </w:tcPr>
          <w:p w14:paraId="5D13C3E8" w14:textId="77777777" w:rsidR="00B95BF1" w:rsidRDefault="00B95BF1" w:rsidP="00CD71A3">
            <w:pPr>
              <w:pStyle w:val="NormalWeb"/>
              <w:jc w:val="center"/>
            </w:pPr>
            <w:r>
              <w:t>1</w:t>
            </w:r>
          </w:p>
        </w:tc>
        <w:tc>
          <w:tcPr>
            <w:tcW w:w="2092" w:type="dxa"/>
            <w:hideMark/>
          </w:tcPr>
          <w:p w14:paraId="5A4F963D" w14:textId="77777777" w:rsidR="00B95BF1" w:rsidRDefault="00B95BF1" w:rsidP="00CD71A3">
            <w:pPr>
              <w:pStyle w:val="NormalWeb"/>
              <w:jc w:val="center"/>
            </w:pPr>
            <w:r>
              <w:t>0</w:t>
            </w:r>
          </w:p>
        </w:tc>
        <w:tc>
          <w:tcPr>
            <w:tcW w:w="1800" w:type="dxa"/>
            <w:hideMark/>
          </w:tcPr>
          <w:p w14:paraId="3A437EC6" w14:textId="77777777" w:rsidR="00B95BF1" w:rsidRDefault="00B95BF1" w:rsidP="00CD71A3">
            <w:pPr>
              <w:pStyle w:val="NormalWeb"/>
              <w:jc w:val="center"/>
            </w:pPr>
            <w:r>
              <w:t>0</w:t>
            </w:r>
          </w:p>
        </w:tc>
        <w:tc>
          <w:tcPr>
            <w:tcW w:w="900" w:type="dxa"/>
            <w:hideMark/>
          </w:tcPr>
          <w:p w14:paraId="4A6338E3" w14:textId="77777777" w:rsidR="00B95BF1" w:rsidRDefault="00B95BF1" w:rsidP="00CD71A3">
            <w:pPr>
              <w:pStyle w:val="NormalWeb"/>
              <w:jc w:val="center"/>
            </w:pPr>
            <w:r>
              <w:t>0</w:t>
            </w:r>
          </w:p>
        </w:tc>
        <w:tc>
          <w:tcPr>
            <w:tcW w:w="1440" w:type="dxa"/>
            <w:hideMark/>
          </w:tcPr>
          <w:p w14:paraId="5B8A36D4" w14:textId="77777777" w:rsidR="00B95BF1" w:rsidRDefault="00B95BF1" w:rsidP="00CD71A3">
            <w:pPr>
              <w:pStyle w:val="NormalWeb"/>
              <w:jc w:val="center"/>
            </w:pPr>
            <w:r>
              <w:t>1</w:t>
            </w:r>
          </w:p>
        </w:tc>
        <w:tc>
          <w:tcPr>
            <w:tcW w:w="2340" w:type="dxa"/>
            <w:hideMark/>
          </w:tcPr>
          <w:p w14:paraId="60663F1A" w14:textId="77777777" w:rsidR="00B95BF1" w:rsidRDefault="00B95BF1" w:rsidP="00CD71A3">
            <w:pPr>
              <w:pStyle w:val="NormalWeb"/>
              <w:jc w:val="center"/>
            </w:pPr>
            <w:r>
              <w:t>0%</w:t>
            </w:r>
          </w:p>
        </w:tc>
        <w:tc>
          <w:tcPr>
            <w:tcW w:w="1980" w:type="dxa"/>
            <w:hideMark/>
          </w:tcPr>
          <w:p w14:paraId="4D8FAB5A" w14:textId="77777777" w:rsidR="00B95BF1" w:rsidRDefault="00B95BF1" w:rsidP="00CD71A3">
            <w:pPr>
              <w:pStyle w:val="NormalWeb"/>
              <w:jc w:val="center"/>
            </w:pPr>
            <w:r>
              <w:t>0%</w:t>
            </w:r>
          </w:p>
        </w:tc>
        <w:tc>
          <w:tcPr>
            <w:tcW w:w="1782" w:type="dxa"/>
            <w:hideMark/>
          </w:tcPr>
          <w:p w14:paraId="1BAD6C8C" w14:textId="77777777" w:rsidR="00B95BF1" w:rsidRDefault="00B95BF1" w:rsidP="00CD71A3">
            <w:pPr>
              <w:pStyle w:val="NormalWeb"/>
              <w:jc w:val="center"/>
            </w:pPr>
            <w:r>
              <w:t>0%</w:t>
            </w:r>
          </w:p>
        </w:tc>
      </w:tr>
      <w:tr w:rsidR="00B95BF1" w:rsidRPr="008E62F4" w14:paraId="4F534D14" w14:textId="77777777" w:rsidTr="00B95BF1">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4E01578F" w14:textId="77777777" w:rsidR="00B95BF1" w:rsidRPr="008E62F4" w:rsidRDefault="00B95BF1" w:rsidP="00CD71A3">
            <w:pPr>
              <w:pStyle w:val="NormalWeb"/>
              <w:rPr>
                <w:b/>
                <w:bCs/>
              </w:rPr>
            </w:pPr>
            <w:r w:rsidRPr="008E62F4">
              <w:rPr>
                <w:b/>
                <w:bCs/>
              </w:rPr>
              <w:t>Total</w:t>
            </w:r>
          </w:p>
        </w:tc>
        <w:tc>
          <w:tcPr>
            <w:tcW w:w="0" w:type="auto"/>
            <w:shd w:val="clear" w:color="auto" w:fill="FDE9D9" w:themeFill="accent6" w:themeFillTint="33"/>
            <w:hideMark/>
          </w:tcPr>
          <w:p w14:paraId="2488F6F2" w14:textId="77777777" w:rsidR="00B95BF1" w:rsidRPr="008E62F4" w:rsidRDefault="00B95BF1" w:rsidP="00CD71A3">
            <w:pPr>
              <w:pStyle w:val="NormalWeb"/>
              <w:jc w:val="center"/>
              <w:rPr>
                <w:b/>
                <w:bCs/>
              </w:rPr>
            </w:pPr>
            <w:r w:rsidRPr="008E62F4">
              <w:rPr>
                <w:b/>
                <w:bCs/>
              </w:rPr>
              <w:t>10,487</w:t>
            </w:r>
          </w:p>
        </w:tc>
        <w:tc>
          <w:tcPr>
            <w:tcW w:w="2092" w:type="dxa"/>
            <w:shd w:val="clear" w:color="auto" w:fill="FDE9D9" w:themeFill="accent6" w:themeFillTint="33"/>
            <w:hideMark/>
          </w:tcPr>
          <w:p w14:paraId="35766E44" w14:textId="77777777" w:rsidR="00B95BF1" w:rsidRPr="008E62F4" w:rsidRDefault="00B95BF1" w:rsidP="00CD71A3">
            <w:pPr>
              <w:pStyle w:val="NormalWeb"/>
              <w:jc w:val="center"/>
              <w:rPr>
                <w:b/>
                <w:bCs/>
              </w:rPr>
            </w:pPr>
            <w:r w:rsidRPr="008E62F4">
              <w:rPr>
                <w:b/>
                <w:bCs/>
              </w:rPr>
              <w:t>1,386</w:t>
            </w:r>
          </w:p>
        </w:tc>
        <w:tc>
          <w:tcPr>
            <w:tcW w:w="1800" w:type="dxa"/>
            <w:shd w:val="clear" w:color="auto" w:fill="FDE9D9" w:themeFill="accent6" w:themeFillTint="33"/>
            <w:hideMark/>
          </w:tcPr>
          <w:p w14:paraId="1B710411" w14:textId="77777777" w:rsidR="00B95BF1" w:rsidRPr="008E62F4" w:rsidRDefault="00B95BF1" w:rsidP="00CD71A3">
            <w:pPr>
              <w:pStyle w:val="NormalWeb"/>
              <w:jc w:val="center"/>
              <w:rPr>
                <w:b/>
                <w:bCs/>
              </w:rPr>
            </w:pPr>
            <w:r w:rsidRPr="008E62F4">
              <w:rPr>
                <w:b/>
                <w:bCs/>
              </w:rPr>
              <w:t>309</w:t>
            </w:r>
          </w:p>
        </w:tc>
        <w:tc>
          <w:tcPr>
            <w:tcW w:w="900" w:type="dxa"/>
            <w:shd w:val="clear" w:color="auto" w:fill="FDE9D9" w:themeFill="accent6" w:themeFillTint="33"/>
            <w:hideMark/>
          </w:tcPr>
          <w:p w14:paraId="59B5C017" w14:textId="77777777" w:rsidR="00B95BF1" w:rsidRPr="008E62F4" w:rsidRDefault="00B95BF1" w:rsidP="00CD71A3">
            <w:pPr>
              <w:pStyle w:val="NormalWeb"/>
              <w:jc w:val="center"/>
              <w:rPr>
                <w:b/>
                <w:bCs/>
              </w:rPr>
            </w:pPr>
            <w:r w:rsidRPr="008E62F4">
              <w:rPr>
                <w:b/>
                <w:bCs/>
              </w:rPr>
              <w:t>87</w:t>
            </w:r>
          </w:p>
        </w:tc>
        <w:tc>
          <w:tcPr>
            <w:tcW w:w="1440" w:type="dxa"/>
            <w:shd w:val="clear" w:color="auto" w:fill="FDE9D9" w:themeFill="accent6" w:themeFillTint="33"/>
            <w:hideMark/>
          </w:tcPr>
          <w:p w14:paraId="2C9709E0" w14:textId="77777777" w:rsidR="00B95BF1" w:rsidRPr="008E62F4" w:rsidRDefault="00B95BF1" w:rsidP="00CD71A3">
            <w:pPr>
              <w:pStyle w:val="NormalWeb"/>
              <w:jc w:val="center"/>
              <w:rPr>
                <w:b/>
                <w:bCs/>
              </w:rPr>
            </w:pPr>
            <w:r w:rsidRPr="008E62F4">
              <w:rPr>
                <w:b/>
                <w:bCs/>
              </w:rPr>
              <w:t>12,269</w:t>
            </w:r>
          </w:p>
        </w:tc>
        <w:tc>
          <w:tcPr>
            <w:tcW w:w="2340" w:type="dxa"/>
            <w:shd w:val="clear" w:color="auto" w:fill="FDE9D9" w:themeFill="accent6" w:themeFillTint="33"/>
            <w:hideMark/>
          </w:tcPr>
          <w:p w14:paraId="39628FD9" w14:textId="77777777" w:rsidR="00B95BF1" w:rsidRPr="008E62F4" w:rsidRDefault="00B95BF1" w:rsidP="00CD71A3">
            <w:pPr>
              <w:pStyle w:val="NormalWeb"/>
              <w:jc w:val="center"/>
              <w:rPr>
                <w:b/>
                <w:bCs/>
              </w:rPr>
            </w:pPr>
            <w:r w:rsidRPr="008E62F4">
              <w:rPr>
                <w:b/>
                <w:bCs/>
              </w:rPr>
              <w:t>11%</w:t>
            </w:r>
          </w:p>
        </w:tc>
        <w:tc>
          <w:tcPr>
            <w:tcW w:w="1980" w:type="dxa"/>
            <w:shd w:val="clear" w:color="auto" w:fill="FDE9D9" w:themeFill="accent6" w:themeFillTint="33"/>
            <w:hideMark/>
          </w:tcPr>
          <w:p w14:paraId="15353786" w14:textId="77777777" w:rsidR="00B95BF1" w:rsidRPr="008E62F4" w:rsidRDefault="00B95BF1" w:rsidP="00CD71A3">
            <w:pPr>
              <w:pStyle w:val="NormalWeb"/>
              <w:jc w:val="center"/>
              <w:rPr>
                <w:b/>
                <w:bCs/>
              </w:rPr>
            </w:pPr>
            <w:r w:rsidRPr="008E62F4">
              <w:rPr>
                <w:b/>
                <w:bCs/>
              </w:rPr>
              <w:t>3%</w:t>
            </w:r>
          </w:p>
        </w:tc>
        <w:tc>
          <w:tcPr>
            <w:tcW w:w="1782" w:type="dxa"/>
            <w:shd w:val="clear" w:color="auto" w:fill="FDE9D9" w:themeFill="accent6" w:themeFillTint="33"/>
            <w:hideMark/>
          </w:tcPr>
          <w:p w14:paraId="359FD24B" w14:textId="77777777" w:rsidR="00B95BF1" w:rsidRPr="008E62F4" w:rsidRDefault="00B95BF1" w:rsidP="00CD71A3">
            <w:pPr>
              <w:pStyle w:val="NormalWeb"/>
              <w:jc w:val="center"/>
              <w:rPr>
                <w:b/>
                <w:bCs/>
              </w:rPr>
            </w:pPr>
            <w:r w:rsidRPr="008E62F4">
              <w:rPr>
                <w:b/>
                <w:bCs/>
              </w:rPr>
              <w:t>1%</w:t>
            </w:r>
          </w:p>
        </w:tc>
      </w:tr>
    </w:tbl>
    <w:p w14:paraId="49C0DD32" w14:textId="77777777" w:rsidR="00B95BF1" w:rsidRDefault="00B95BF1" w:rsidP="00B95BF1">
      <w:pPr>
        <w:pStyle w:val="CDIfootnotes"/>
        <w:rPr>
          <w:lang w:val="en-GB"/>
        </w:rPr>
      </w:pPr>
      <w:r>
        <w:rPr>
          <w:lang w:val="en-GB"/>
        </w:rPr>
        <w:t>a</w:t>
      </w:r>
      <w:r>
        <w:rPr>
          <w:lang w:val="en-GB"/>
        </w:rPr>
        <w:tab/>
        <w:t>Source: NINDSS, extract from 31 August 2021, based on notification received date.</w:t>
      </w:r>
    </w:p>
    <w:p w14:paraId="06F29458" w14:textId="77777777" w:rsidR="00B95BF1" w:rsidRDefault="00B95BF1" w:rsidP="00B95BF1">
      <w:pPr>
        <w:pStyle w:val="CDIfootnotes"/>
        <w:rPr>
          <w:lang w:val="en-GB"/>
        </w:rPr>
      </w:pPr>
      <w:r>
        <w:rPr>
          <w:lang w:val="en-GB"/>
        </w:rPr>
        <w:t>b</w:t>
      </w:r>
      <w:r>
        <w:rPr>
          <w:lang w:val="en-GB"/>
        </w:rPr>
        <w:tab/>
        <w:t xml:space="preserve">Data included from six jurisdictions with the most reliable data across both hospital and ICU data fields: Australian Capital Territory, New South Wales, South Australia, Tasmania, </w:t>
      </w:r>
      <w:proofErr w:type="gramStart"/>
      <w:r>
        <w:rPr>
          <w:lang w:val="en-GB"/>
        </w:rPr>
        <w:t>Victoria</w:t>
      </w:r>
      <w:proofErr w:type="gramEnd"/>
      <w:r>
        <w:rPr>
          <w:lang w:val="en-GB"/>
        </w:rPr>
        <w:t xml:space="preserve"> and Western Australia. This is based on an assessment of data from SPRINT-SARI and NINDSS.</w:t>
      </w:r>
    </w:p>
    <w:p w14:paraId="135B8673" w14:textId="77777777" w:rsidR="00B95BF1" w:rsidRDefault="00B95BF1" w:rsidP="007220A8"/>
    <w:p w14:paraId="1E79B357" w14:textId="77777777" w:rsidR="00B95BF1" w:rsidRDefault="00B95BF1" w:rsidP="007220A8">
      <w:pPr>
        <w:sectPr w:rsidR="00B95BF1" w:rsidSect="00B95BF1">
          <w:footnotePr>
            <w:numFmt w:val="lowerRoman"/>
          </w:footnotePr>
          <w:pgSz w:w="16838" w:h="11906" w:orient="landscape"/>
          <w:pgMar w:top="720" w:right="720" w:bottom="720" w:left="1134" w:header="709" w:footer="284" w:gutter="0"/>
          <w:cols w:space="708"/>
          <w:titlePg/>
          <w:docGrid w:linePitch="360"/>
        </w:sectPr>
      </w:pPr>
    </w:p>
    <w:p w14:paraId="7C5E5F3C" w14:textId="11A9143A" w:rsidR="00A32CF3" w:rsidRDefault="00A32CF3" w:rsidP="007220A8">
      <w:r>
        <w:lastRenderedPageBreak/>
        <w:t>In the year to date to 29 August 2021, there were 471 COVID-19 cases admitted to ICUs participating in the sentinel surveillance system, Short Period Incidence Study of Severe Acute Respiratory Infection (SPRINT-SARI),</w:t>
      </w:r>
      <w:r>
        <w:rPr>
          <w:vertAlign w:val="superscript"/>
        </w:rPr>
        <w:t>4</w:t>
      </w:r>
      <w:r>
        <w:t xml:space="preserve"> with 168 of these admitted during this reporting period (16 – 29 August 2021). </w:t>
      </w:r>
    </w:p>
    <w:p w14:paraId="4B786A4C" w14:textId="77777777" w:rsidR="00A32CF3" w:rsidRPr="007220A8" w:rsidRDefault="00A32CF3" w:rsidP="007220A8">
      <w:pPr>
        <w:pStyle w:val="Heading3"/>
      </w:pPr>
      <w:r w:rsidRPr="007220A8">
        <w:t xml:space="preserve">Risk factors for severe disease </w:t>
      </w:r>
    </w:p>
    <w:p w14:paraId="6592B5DB" w14:textId="77777777" w:rsidR="00A32CF3" w:rsidRDefault="00A32CF3" w:rsidP="007220A8">
      <w:r>
        <w:t xml:space="preserve">The hospitalisation rate for COVID-19 cases in the year to date has increased with advancing 10-year age bracket (Table 5). </w:t>
      </w:r>
    </w:p>
    <w:p w14:paraId="48578101" w14:textId="3A312D5F" w:rsidR="00A32CF3" w:rsidRDefault="00A32CF3" w:rsidP="007220A8">
      <w:r>
        <w:t xml:space="preserve">Comorbidity data extracted from SPRINT-SARI reflect the sickest patients with COVID-19 managed in ICU; data are therefore not generalisable to all cases (Table 6). In patients admitted to ICU with COVID-19 since 1 February 2021, the most prevalent comorbidity was diabetes, following by obesity (a body mass index of &gt; 30 or weight over 120 kg). Of those adult patients admitted to ICU this year for whom comorbidity data was known, 58% (214/366) had at least one comorbidity; 42% (152/366) of patients had none of the listed comorbidities recorded. </w:t>
      </w:r>
    </w:p>
    <w:p w14:paraId="09B1B0E4" w14:textId="77777777" w:rsidR="00107B14" w:rsidRPr="008E62F4" w:rsidRDefault="00107B14" w:rsidP="00107B14">
      <w:pPr>
        <w:pStyle w:val="CDIFigures"/>
      </w:pPr>
      <w:r w:rsidRPr="008E62F4">
        <w:rPr>
          <w:rStyle w:val="Strong"/>
          <w:b/>
          <w:bCs w:val="0"/>
        </w:rPr>
        <w:t>Table 6: Comorbidities for adult COVID-19 cases (aged greater than or equal to 18 years) amongst those admitted to ICU, Australia, 1 February 2021 – 29 August 2021</w:t>
      </w:r>
      <w:r w:rsidRPr="008E62F4">
        <w:rPr>
          <w:rStyle w:val="Strong"/>
          <w:b/>
          <w:bCs w:val="0"/>
          <w:vertAlign w:val="superscript"/>
        </w:rPr>
        <w:t>a</w:t>
      </w:r>
    </w:p>
    <w:tbl>
      <w:tblPr>
        <w:tblStyle w:val="CDI-StandardTable"/>
        <w:tblW w:w="0" w:type="auto"/>
        <w:tblLook w:val="04A0" w:firstRow="1" w:lastRow="0" w:firstColumn="1" w:lastColumn="0" w:noHBand="0" w:noVBand="1"/>
        <w:tblDescription w:val="A table summarising the incidence of comorbidities among adult COVID-19 cases admitted to ICU for the calendar year to date. Among cases admitted to ICU this year, the most frequent comorbidities have been diabetes and obesity (28% each). Almost half of this year’s ICU cases (42%) did not have any listed comorbidities; 24% of ICU cases had two or more comorbidities, with 8% (30 cases) having three or more comorbidities.&#10;"/>
      </w:tblPr>
      <w:tblGrid>
        <w:gridCol w:w="4860"/>
        <w:gridCol w:w="5580"/>
      </w:tblGrid>
      <w:tr w:rsidR="00107B14" w:rsidRPr="005220C5" w14:paraId="06DD78E6" w14:textId="77777777" w:rsidTr="00CD71A3">
        <w:trPr>
          <w:cnfStyle w:val="100000000000" w:firstRow="1" w:lastRow="0" w:firstColumn="0" w:lastColumn="0" w:oddVBand="0" w:evenVBand="0" w:oddHBand="0" w:evenHBand="0" w:firstRowFirstColumn="0" w:firstRowLastColumn="0" w:lastRowFirstColumn="0" w:lastRowLastColumn="0"/>
        </w:trPr>
        <w:tc>
          <w:tcPr>
            <w:tcW w:w="4860" w:type="dxa"/>
            <w:tcBorders>
              <w:right w:val="single" w:sz="2" w:space="0" w:color="FFFFFF" w:themeColor="background1"/>
            </w:tcBorders>
            <w:hideMark/>
          </w:tcPr>
          <w:p w14:paraId="00DBC9AA" w14:textId="77777777" w:rsidR="00107B14" w:rsidRPr="005220C5" w:rsidRDefault="00107B14" w:rsidP="00CD71A3">
            <w:pPr>
              <w:pStyle w:val="NormalWeb"/>
              <w:rPr>
                <w:color w:val="FFFFFF" w:themeColor="background1"/>
              </w:rPr>
            </w:pPr>
            <w:r w:rsidRPr="005220C5">
              <w:rPr>
                <w:color w:val="FFFFFF" w:themeColor="background1"/>
              </w:rPr>
              <w:t>Comorbidity</w:t>
            </w:r>
          </w:p>
        </w:tc>
        <w:tc>
          <w:tcPr>
            <w:tcW w:w="5580" w:type="dxa"/>
            <w:tcBorders>
              <w:left w:val="single" w:sz="2" w:space="0" w:color="FFFFFF" w:themeColor="background1"/>
            </w:tcBorders>
            <w:hideMark/>
          </w:tcPr>
          <w:p w14:paraId="0AD42008" w14:textId="36C1D3F2" w:rsidR="00107B14" w:rsidRPr="005220C5" w:rsidRDefault="00107B14" w:rsidP="00CD71A3">
            <w:pPr>
              <w:pStyle w:val="NormalWeb"/>
              <w:jc w:val="center"/>
              <w:rPr>
                <w:color w:val="FFFFFF" w:themeColor="background1"/>
              </w:rPr>
            </w:pPr>
            <w:r w:rsidRPr="005220C5">
              <w:rPr>
                <w:color w:val="FFFFFF" w:themeColor="background1"/>
              </w:rPr>
              <w:t xml:space="preserve">ICU </w:t>
            </w:r>
            <w:proofErr w:type="spellStart"/>
            <w:r w:rsidRPr="005220C5">
              <w:rPr>
                <w:color w:val="FFFFFF" w:themeColor="background1"/>
              </w:rPr>
              <w:t>cases</w:t>
            </w:r>
            <w:r w:rsidRPr="005220C5">
              <w:rPr>
                <w:color w:val="FFFFFF" w:themeColor="background1"/>
                <w:vertAlign w:val="superscript"/>
              </w:rPr>
              <w:t>a</w:t>
            </w:r>
            <w:proofErr w:type="spellEnd"/>
            <w:r w:rsidR="00CB17D8">
              <w:rPr>
                <w:color w:val="FFFFFF" w:themeColor="background1"/>
                <w:vertAlign w:val="superscript"/>
              </w:rPr>
              <w:t xml:space="preserve"> </w:t>
            </w:r>
            <w:r w:rsidRPr="005220C5">
              <w:rPr>
                <w:color w:val="FFFFFF" w:themeColor="background1"/>
              </w:rPr>
              <w:t>(n = 465)</w:t>
            </w:r>
            <w:r w:rsidR="00CB17D8">
              <w:rPr>
                <w:color w:val="FFFFFF" w:themeColor="background1"/>
              </w:rPr>
              <w:t xml:space="preserve"> </w:t>
            </w:r>
            <w:r w:rsidRPr="005220C5">
              <w:rPr>
                <w:color w:val="FFFFFF" w:themeColor="background1"/>
              </w:rPr>
              <w:t>(%)</w:t>
            </w:r>
          </w:p>
        </w:tc>
      </w:tr>
      <w:tr w:rsidR="00107B14" w14:paraId="31D38559" w14:textId="77777777" w:rsidTr="00CD71A3">
        <w:tblPrEx>
          <w:tblCellMar>
            <w:top w:w="57" w:type="dxa"/>
            <w:left w:w="57" w:type="dxa"/>
            <w:bottom w:w="57" w:type="dxa"/>
            <w:right w:w="57" w:type="dxa"/>
          </w:tblCellMar>
        </w:tblPrEx>
        <w:tc>
          <w:tcPr>
            <w:tcW w:w="4860" w:type="dxa"/>
            <w:hideMark/>
          </w:tcPr>
          <w:p w14:paraId="7973D20D" w14:textId="77777777" w:rsidR="00107B14" w:rsidRDefault="00107B14" w:rsidP="00CD71A3">
            <w:pPr>
              <w:pStyle w:val="NormalWeb"/>
            </w:pPr>
            <w:r>
              <w:t>Cardiac disease (n = 360)</w:t>
            </w:r>
          </w:p>
        </w:tc>
        <w:tc>
          <w:tcPr>
            <w:tcW w:w="5580" w:type="dxa"/>
            <w:hideMark/>
          </w:tcPr>
          <w:p w14:paraId="6B4E31A5" w14:textId="77777777" w:rsidR="00107B14" w:rsidRDefault="00107B14" w:rsidP="00CD71A3">
            <w:pPr>
              <w:pStyle w:val="NormalWeb"/>
              <w:jc w:val="center"/>
            </w:pPr>
            <w:r>
              <w:t>37 (10)</w:t>
            </w:r>
          </w:p>
        </w:tc>
      </w:tr>
      <w:tr w:rsidR="00107B14" w14:paraId="4F81AC59"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1AAF6B4B" w14:textId="77777777" w:rsidR="00107B14" w:rsidRDefault="00107B14" w:rsidP="00CD71A3">
            <w:pPr>
              <w:pStyle w:val="NormalWeb"/>
            </w:pPr>
            <w:r>
              <w:t xml:space="preserve">Chronic respiratory condition (n = 359) </w:t>
            </w:r>
            <w:r w:rsidRPr="002F0DA5">
              <w:rPr>
                <w:vertAlign w:val="superscript"/>
              </w:rPr>
              <w:t>b</w:t>
            </w:r>
          </w:p>
        </w:tc>
        <w:tc>
          <w:tcPr>
            <w:tcW w:w="5580" w:type="dxa"/>
            <w:hideMark/>
          </w:tcPr>
          <w:p w14:paraId="56B3EC6B" w14:textId="77777777" w:rsidR="00107B14" w:rsidRDefault="00107B14" w:rsidP="00CD71A3">
            <w:pPr>
              <w:pStyle w:val="NormalWeb"/>
              <w:jc w:val="center"/>
            </w:pPr>
            <w:r>
              <w:t>44 (12)</w:t>
            </w:r>
          </w:p>
        </w:tc>
      </w:tr>
      <w:tr w:rsidR="00107B14" w14:paraId="57F68A0F" w14:textId="77777777" w:rsidTr="00CD71A3">
        <w:tblPrEx>
          <w:tblCellMar>
            <w:top w:w="57" w:type="dxa"/>
            <w:left w:w="57" w:type="dxa"/>
            <w:bottom w:w="57" w:type="dxa"/>
            <w:right w:w="57" w:type="dxa"/>
          </w:tblCellMar>
        </w:tblPrEx>
        <w:tc>
          <w:tcPr>
            <w:tcW w:w="4860" w:type="dxa"/>
            <w:hideMark/>
          </w:tcPr>
          <w:p w14:paraId="3CBDA641" w14:textId="77777777" w:rsidR="00107B14" w:rsidRDefault="00107B14" w:rsidP="00CD71A3">
            <w:pPr>
              <w:pStyle w:val="NormalWeb"/>
            </w:pPr>
            <w:r>
              <w:t>Diabetes (n = 359)</w:t>
            </w:r>
          </w:p>
        </w:tc>
        <w:tc>
          <w:tcPr>
            <w:tcW w:w="5580" w:type="dxa"/>
            <w:hideMark/>
          </w:tcPr>
          <w:p w14:paraId="529FCFDF" w14:textId="77777777" w:rsidR="00107B14" w:rsidRDefault="00107B14" w:rsidP="00CD71A3">
            <w:pPr>
              <w:pStyle w:val="NormalWeb"/>
              <w:jc w:val="center"/>
            </w:pPr>
            <w:r>
              <w:t>102 (28)</w:t>
            </w:r>
          </w:p>
        </w:tc>
      </w:tr>
      <w:tr w:rsidR="00107B14" w14:paraId="3DBE0421"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281B3871" w14:textId="77777777" w:rsidR="00107B14" w:rsidRDefault="00107B14" w:rsidP="00CD71A3">
            <w:pPr>
              <w:pStyle w:val="NormalWeb"/>
            </w:pPr>
            <w:r>
              <w:t>Obesity (n = 338)</w:t>
            </w:r>
          </w:p>
        </w:tc>
        <w:tc>
          <w:tcPr>
            <w:tcW w:w="5580" w:type="dxa"/>
            <w:hideMark/>
          </w:tcPr>
          <w:p w14:paraId="37511C78" w14:textId="77777777" w:rsidR="00107B14" w:rsidRDefault="00107B14" w:rsidP="00CD71A3">
            <w:pPr>
              <w:pStyle w:val="NormalWeb"/>
              <w:jc w:val="center"/>
            </w:pPr>
            <w:r>
              <w:t>96 (28)</w:t>
            </w:r>
          </w:p>
        </w:tc>
      </w:tr>
      <w:tr w:rsidR="00107B14" w14:paraId="553A4211" w14:textId="77777777" w:rsidTr="00CD71A3">
        <w:tblPrEx>
          <w:tblCellMar>
            <w:top w:w="57" w:type="dxa"/>
            <w:left w:w="57" w:type="dxa"/>
            <w:bottom w:w="57" w:type="dxa"/>
            <w:right w:w="57" w:type="dxa"/>
          </w:tblCellMar>
        </w:tblPrEx>
        <w:tc>
          <w:tcPr>
            <w:tcW w:w="4860" w:type="dxa"/>
            <w:hideMark/>
          </w:tcPr>
          <w:p w14:paraId="3DB14C57" w14:textId="77777777" w:rsidR="00107B14" w:rsidRDefault="00107B14" w:rsidP="00CD71A3">
            <w:pPr>
              <w:pStyle w:val="NormalWeb"/>
            </w:pPr>
            <w:r>
              <w:t>Chronic renal disease (n = 357)</w:t>
            </w:r>
          </w:p>
        </w:tc>
        <w:tc>
          <w:tcPr>
            <w:tcW w:w="5580" w:type="dxa"/>
            <w:hideMark/>
          </w:tcPr>
          <w:p w14:paraId="55CA8417" w14:textId="77777777" w:rsidR="00107B14" w:rsidRDefault="00107B14" w:rsidP="00CD71A3">
            <w:pPr>
              <w:pStyle w:val="NormalWeb"/>
              <w:jc w:val="center"/>
            </w:pPr>
            <w:r>
              <w:t>18 (5)</w:t>
            </w:r>
          </w:p>
        </w:tc>
      </w:tr>
      <w:tr w:rsidR="00107B14" w14:paraId="162161A6"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37056C9B" w14:textId="77777777" w:rsidR="00107B14" w:rsidRDefault="00107B14" w:rsidP="00CD71A3">
            <w:pPr>
              <w:pStyle w:val="NormalWeb"/>
            </w:pPr>
            <w:r>
              <w:t>Chronic neurological condition (n = 358)</w:t>
            </w:r>
          </w:p>
        </w:tc>
        <w:tc>
          <w:tcPr>
            <w:tcW w:w="5580" w:type="dxa"/>
            <w:hideMark/>
          </w:tcPr>
          <w:p w14:paraId="66243565" w14:textId="77777777" w:rsidR="00107B14" w:rsidRDefault="00107B14" w:rsidP="00CD71A3">
            <w:pPr>
              <w:pStyle w:val="NormalWeb"/>
              <w:jc w:val="center"/>
            </w:pPr>
            <w:r>
              <w:t>9 (3)</w:t>
            </w:r>
          </w:p>
        </w:tc>
      </w:tr>
      <w:tr w:rsidR="00107B14" w14:paraId="09ACB0FE" w14:textId="77777777" w:rsidTr="00CD71A3">
        <w:tblPrEx>
          <w:tblCellMar>
            <w:top w:w="57" w:type="dxa"/>
            <w:left w:w="57" w:type="dxa"/>
            <w:bottom w:w="57" w:type="dxa"/>
            <w:right w:w="57" w:type="dxa"/>
          </w:tblCellMar>
        </w:tblPrEx>
        <w:tc>
          <w:tcPr>
            <w:tcW w:w="4860" w:type="dxa"/>
            <w:hideMark/>
          </w:tcPr>
          <w:p w14:paraId="19ABDDBF" w14:textId="77777777" w:rsidR="00107B14" w:rsidRDefault="00107B14" w:rsidP="00CD71A3">
            <w:pPr>
              <w:pStyle w:val="NormalWeb"/>
            </w:pPr>
            <w:r>
              <w:t>Malignancy (n = 344)</w:t>
            </w:r>
          </w:p>
        </w:tc>
        <w:tc>
          <w:tcPr>
            <w:tcW w:w="5580" w:type="dxa"/>
            <w:hideMark/>
          </w:tcPr>
          <w:p w14:paraId="7166A3F4" w14:textId="77777777" w:rsidR="00107B14" w:rsidRDefault="00107B14" w:rsidP="00CD71A3">
            <w:pPr>
              <w:pStyle w:val="NormalWeb"/>
              <w:jc w:val="center"/>
            </w:pPr>
            <w:r>
              <w:t>14 (4)</w:t>
            </w:r>
          </w:p>
        </w:tc>
      </w:tr>
      <w:tr w:rsidR="00107B14" w14:paraId="485728C2"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410EC2BC" w14:textId="77777777" w:rsidR="00107B14" w:rsidRDefault="00107B14" w:rsidP="00CD71A3">
            <w:pPr>
              <w:pStyle w:val="NormalWeb"/>
            </w:pPr>
            <w:r>
              <w:t>Chronic liver disease (n = 358)</w:t>
            </w:r>
          </w:p>
        </w:tc>
        <w:tc>
          <w:tcPr>
            <w:tcW w:w="5580" w:type="dxa"/>
            <w:hideMark/>
          </w:tcPr>
          <w:p w14:paraId="6E51848E" w14:textId="77777777" w:rsidR="00107B14" w:rsidRDefault="00107B14" w:rsidP="00CD71A3">
            <w:pPr>
              <w:pStyle w:val="NormalWeb"/>
              <w:jc w:val="center"/>
            </w:pPr>
            <w:r>
              <w:t>14 (4)</w:t>
            </w:r>
          </w:p>
        </w:tc>
      </w:tr>
      <w:tr w:rsidR="00107B14" w14:paraId="4EA40CEF" w14:textId="77777777" w:rsidTr="00CD71A3">
        <w:tblPrEx>
          <w:tblCellMar>
            <w:top w:w="57" w:type="dxa"/>
            <w:left w:w="57" w:type="dxa"/>
            <w:bottom w:w="57" w:type="dxa"/>
            <w:right w:w="57" w:type="dxa"/>
          </w:tblCellMar>
        </w:tblPrEx>
        <w:tc>
          <w:tcPr>
            <w:tcW w:w="4860" w:type="dxa"/>
            <w:hideMark/>
          </w:tcPr>
          <w:p w14:paraId="52C366FA" w14:textId="77777777" w:rsidR="00107B14" w:rsidRDefault="00107B14" w:rsidP="00CD71A3">
            <w:pPr>
              <w:pStyle w:val="NormalWeb"/>
            </w:pPr>
            <w:r>
              <w:t>Immunosuppression (n = 357)</w:t>
            </w:r>
          </w:p>
        </w:tc>
        <w:tc>
          <w:tcPr>
            <w:tcW w:w="5580" w:type="dxa"/>
            <w:hideMark/>
          </w:tcPr>
          <w:p w14:paraId="2D52701E" w14:textId="77777777" w:rsidR="00107B14" w:rsidRDefault="00107B14" w:rsidP="00CD71A3">
            <w:pPr>
              <w:pStyle w:val="NormalWeb"/>
              <w:jc w:val="center"/>
            </w:pPr>
            <w:r>
              <w:t>15 (4)</w:t>
            </w:r>
          </w:p>
        </w:tc>
      </w:tr>
      <w:tr w:rsidR="00107B14" w:rsidRPr="00EA54E5" w14:paraId="047D1C26"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10440" w:type="dxa"/>
            <w:gridSpan w:val="2"/>
            <w:shd w:val="clear" w:color="auto" w:fill="595959" w:themeFill="text1" w:themeFillTint="A6"/>
            <w:hideMark/>
          </w:tcPr>
          <w:p w14:paraId="06910518" w14:textId="77777777" w:rsidR="00107B14" w:rsidRPr="00EA54E5" w:rsidRDefault="00107B14" w:rsidP="00CD71A3">
            <w:pPr>
              <w:pStyle w:val="NormalWeb"/>
              <w:jc w:val="center"/>
              <w:rPr>
                <w:b/>
                <w:bCs/>
                <w:color w:val="FFFFFF" w:themeColor="background1"/>
              </w:rPr>
            </w:pPr>
            <w:r w:rsidRPr="00EA54E5">
              <w:rPr>
                <w:b/>
                <w:bCs/>
                <w:color w:val="FFFFFF" w:themeColor="background1"/>
              </w:rPr>
              <w:t xml:space="preserve">Number of specified comorbidities (n = 366) </w:t>
            </w:r>
            <w:proofErr w:type="spellStart"/>
            <w:proofErr w:type="gramStart"/>
            <w:r w:rsidRPr="00EA54E5">
              <w:rPr>
                <w:b/>
                <w:bCs/>
                <w:color w:val="FFFFFF" w:themeColor="background1"/>
                <w:vertAlign w:val="superscript"/>
              </w:rPr>
              <w:t>c,d</w:t>
            </w:r>
            <w:proofErr w:type="spellEnd"/>
            <w:proofErr w:type="gramEnd"/>
          </w:p>
        </w:tc>
      </w:tr>
      <w:tr w:rsidR="00107B14" w14:paraId="65777ABC" w14:textId="77777777" w:rsidTr="00CD71A3">
        <w:tblPrEx>
          <w:tblCellMar>
            <w:top w:w="57" w:type="dxa"/>
            <w:left w:w="57" w:type="dxa"/>
            <w:bottom w:w="57" w:type="dxa"/>
            <w:right w:w="57" w:type="dxa"/>
          </w:tblCellMar>
        </w:tblPrEx>
        <w:tc>
          <w:tcPr>
            <w:tcW w:w="4860" w:type="dxa"/>
            <w:hideMark/>
          </w:tcPr>
          <w:p w14:paraId="4EAD9AA5" w14:textId="77777777" w:rsidR="00107B14" w:rsidRDefault="00107B14" w:rsidP="00CD71A3">
            <w:pPr>
              <w:pStyle w:val="NormalWeb"/>
            </w:pPr>
            <w:r>
              <w:t>One or more</w:t>
            </w:r>
          </w:p>
        </w:tc>
        <w:tc>
          <w:tcPr>
            <w:tcW w:w="5580" w:type="dxa"/>
            <w:hideMark/>
          </w:tcPr>
          <w:p w14:paraId="751298A9" w14:textId="77777777" w:rsidR="00107B14" w:rsidRDefault="00107B14" w:rsidP="00CD71A3">
            <w:pPr>
              <w:pStyle w:val="NormalWeb"/>
              <w:jc w:val="center"/>
            </w:pPr>
            <w:r>
              <w:t>214 (58)</w:t>
            </w:r>
          </w:p>
        </w:tc>
      </w:tr>
      <w:tr w:rsidR="00107B14" w14:paraId="6827D3BF"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33AC7B81" w14:textId="77777777" w:rsidR="00107B14" w:rsidRDefault="00107B14" w:rsidP="00CD71A3">
            <w:pPr>
              <w:pStyle w:val="NormalWeb"/>
            </w:pPr>
            <w:r>
              <w:t>Two or more</w:t>
            </w:r>
          </w:p>
        </w:tc>
        <w:tc>
          <w:tcPr>
            <w:tcW w:w="5580" w:type="dxa"/>
            <w:hideMark/>
          </w:tcPr>
          <w:p w14:paraId="7B0ACB57" w14:textId="77777777" w:rsidR="00107B14" w:rsidRDefault="00107B14" w:rsidP="00CD71A3">
            <w:pPr>
              <w:pStyle w:val="NormalWeb"/>
              <w:jc w:val="center"/>
            </w:pPr>
            <w:r>
              <w:t>87 (24)</w:t>
            </w:r>
          </w:p>
        </w:tc>
      </w:tr>
      <w:tr w:rsidR="00107B14" w14:paraId="7A3F0722" w14:textId="77777777" w:rsidTr="00CD71A3">
        <w:tblPrEx>
          <w:tblCellMar>
            <w:top w:w="57" w:type="dxa"/>
            <w:left w:w="57" w:type="dxa"/>
            <w:bottom w:w="57" w:type="dxa"/>
            <w:right w:w="57" w:type="dxa"/>
          </w:tblCellMar>
        </w:tblPrEx>
        <w:tc>
          <w:tcPr>
            <w:tcW w:w="4860" w:type="dxa"/>
            <w:hideMark/>
          </w:tcPr>
          <w:p w14:paraId="5AF32C10" w14:textId="77777777" w:rsidR="00107B14" w:rsidRDefault="00107B14" w:rsidP="00CD71A3">
            <w:pPr>
              <w:pStyle w:val="NormalWeb"/>
            </w:pPr>
            <w:r>
              <w:t>Three or more</w:t>
            </w:r>
          </w:p>
        </w:tc>
        <w:tc>
          <w:tcPr>
            <w:tcW w:w="5580" w:type="dxa"/>
            <w:hideMark/>
          </w:tcPr>
          <w:p w14:paraId="3DEE4E4F" w14:textId="77777777" w:rsidR="00107B14" w:rsidRDefault="00107B14" w:rsidP="00CD71A3">
            <w:pPr>
              <w:pStyle w:val="NormalWeb"/>
              <w:jc w:val="center"/>
            </w:pPr>
            <w:r>
              <w:t>30 (8)</w:t>
            </w:r>
          </w:p>
        </w:tc>
      </w:tr>
      <w:tr w:rsidR="00107B14" w14:paraId="6CAA6DA8"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4860" w:type="dxa"/>
            <w:hideMark/>
          </w:tcPr>
          <w:p w14:paraId="5F01ACC5" w14:textId="77777777" w:rsidR="00107B14" w:rsidRDefault="00107B14" w:rsidP="00CD71A3">
            <w:pPr>
              <w:pStyle w:val="NormalWeb"/>
            </w:pPr>
            <w:r>
              <w:t>No comorbidities</w:t>
            </w:r>
          </w:p>
        </w:tc>
        <w:tc>
          <w:tcPr>
            <w:tcW w:w="5580" w:type="dxa"/>
            <w:hideMark/>
          </w:tcPr>
          <w:p w14:paraId="5E4DE080" w14:textId="77777777" w:rsidR="00107B14" w:rsidRDefault="00107B14" w:rsidP="00CD71A3">
            <w:pPr>
              <w:pStyle w:val="NormalWeb"/>
              <w:jc w:val="center"/>
            </w:pPr>
            <w:r>
              <w:t>152 (42)</w:t>
            </w:r>
          </w:p>
        </w:tc>
      </w:tr>
    </w:tbl>
    <w:p w14:paraId="613DBA18" w14:textId="77777777" w:rsidR="00107B14" w:rsidRDefault="00107B14" w:rsidP="00107B14">
      <w:pPr>
        <w:pStyle w:val="CDIfootnotes"/>
        <w:rPr>
          <w:lang w:val="en-GB"/>
        </w:rPr>
      </w:pPr>
      <w:r>
        <w:rPr>
          <w:lang w:val="en-GB"/>
        </w:rPr>
        <w:t>a</w:t>
      </w:r>
      <w:r>
        <w:rPr>
          <w:lang w:val="en-GB"/>
        </w:rPr>
        <w:tab/>
        <w:t>Source: SPRINT-SARI. Only includes adult cases (≥ 18 years old) and excludes those with missing data on comorbidities or where comorbidity is unknown.</w:t>
      </w:r>
    </w:p>
    <w:p w14:paraId="1819127F" w14:textId="77777777" w:rsidR="00107B14" w:rsidRDefault="00107B14" w:rsidP="00107B14">
      <w:pPr>
        <w:pStyle w:val="CDIfootnotes"/>
        <w:rPr>
          <w:lang w:val="en-GB"/>
        </w:rPr>
      </w:pPr>
      <w:r>
        <w:rPr>
          <w:lang w:val="en-GB"/>
        </w:rPr>
        <w:t>b</w:t>
      </w:r>
      <w:r>
        <w:rPr>
          <w:lang w:val="en-GB"/>
        </w:rPr>
        <w:tab/>
        <w:t>Includes asthma.</w:t>
      </w:r>
    </w:p>
    <w:p w14:paraId="14E75B92" w14:textId="77777777" w:rsidR="00107B14" w:rsidRDefault="00107B14" w:rsidP="00107B14">
      <w:pPr>
        <w:pStyle w:val="CDIfootnotes"/>
        <w:rPr>
          <w:lang w:val="en-GB"/>
        </w:rPr>
      </w:pPr>
      <w:r>
        <w:rPr>
          <w:lang w:val="en-GB"/>
        </w:rPr>
        <w:t xml:space="preserve">c </w:t>
      </w:r>
      <w:r>
        <w:rPr>
          <w:lang w:val="en-GB"/>
        </w:rPr>
        <w:tab/>
        <w:t xml:space="preserve">Includes chronic respiratory conditions, cardiac disease (excluding hypertension), immunosuppressive condition/therapy, diabetes, obesity, liver disease, renal </w:t>
      </w:r>
      <w:proofErr w:type="gramStart"/>
      <w:r>
        <w:rPr>
          <w:lang w:val="en-GB"/>
        </w:rPr>
        <w:t>disease</w:t>
      </w:r>
      <w:proofErr w:type="gramEnd"/>
      <w:r>
        <w:rPr>
          <w:lang w:val="en-GB"/>
        </w:rPr>
        <w:t xml:space="preserve"> and neurological disorder.</w:t>
      </w:r>
    </w:p>
    <w:p w14:paraId="0BA6665D" w14:textId="0E5CCDFE" w:rsidR="00107B14" w:rsidRPr="00107B14" w:rsidRDefault="00107B14" w:rsidP="00107B14">
      <w:pPr>
        <w:pStyle w:val="CDIfootnotes"/>
        <w:rPr>
          <w:lang w:val="en-GB"/>
        </w:rPr>
      </w:pPr>
      <w:r>
        <w:rPr>
          <w:lang w:val="en-GB"/>
        </w:rPr>
        <w:t>d</w:t>
      </w:r>
      <w:r>
        <w:rPr>
          <w:lang w:val="en-GB"/>
        </w:rPr>
        <w:tab/>
        <w:t>Excludes cases where comorbidity data is missing or unknown for all comorbidities.</w:t>
      </w:r>
    </w:p>
    <w:p w14:paraId="5FFCD329" w14:textId="77777777" w:rsidR="00A32CF3" w:rsidRPr="007220A8" w:rsidRDefault="00A32CF3" w:rsidP="007220A8">
      <w:pPr>
        <w:pStyle w:val="Heading3"/>
      </w:pPr>
      <w:r w:rsidRPr="007220A8">
        <w:t xml:space="preserve">COVID-19 deaths </w:t>
      </w:r>
    </w:p>
    <w:p w14:paraId="013DB6E5" w14:textId="77777777" w:rsidR="00A32CF3" w:rsidRDefault="00A32CF3" w:rsidP="007220A8">
      <w:r>
        <w:t xml:space="preserve">In the reporting fortnight, there were 37 deaths associated with COVID-19, all from New South Wales. The overall crude case fatality rate (CFR) since the start of the epidemic was 2% (Table 7). The ratio of deaths to cases in the year to date has decreased in comparison to this time last year, noting the difference in age distributions of those infected in 2021 versus 2020. </w:t>
      </w:r>
    </w:p>
    <w:p w14:paraId="4AF16A06" w14:textId="77777777" w:rsidR="00CB17D8" w:rsidRDefault="00CB17D8">
      <w:pPr>
        <w:rPr>
          <w:rStyle w:val="Strong"/>
          <w:bCs w:val="0"/>
        </w:rPr>
      </w:pPr>
      <w:r>
        <w:rPr>
          <w:rStyle w:val="Strong"/>
          <w:b w:val="0"/>
          <w:bCs w:val="0"/>
        </w:rPr>
        <w:br w:type="page"/>
      </w:r>
    </w:p>
    <w:p w14:paraId="4B2C27D3" w14:textId="44ECC940" w:rsidR="00107B14" w:rsidRPr="005220C5" w:rsidRDefault="00107B14" w:rsidP="00107B14">
      <w:pPr>
        <w:pStyle w:val="CDIFigures"/>
      </w:pPr>
      <w:r w:rsidRPr="005220C5">
        <w:rPr>
          <w:rStyle w:val="Strong"/>
          <w:b/>
          <w:bCs w:val="0"/>
        </w:rPr>
        <w:lastRenderedPageBreak/>
        <w:t>Table 7: Deaths associated with COVID-19 by reporting period, Australia, 1 January 2020 – 29 August 2021</w:t>
      </w:r>
      <w:r w:rsidRPr="005220C5">
        <w:rPr>
          <w:rStyle w:val="Strong"/>
          <w:b/>
          <w:bCs w:val="0"/>
          <w:vertAlign w:val="superscript"/>
        </w:rPr>
        <w:t>a</w:t>
      </w:r>
    </w:p>
    <w:tbl>
      <w:tblPr>
        <w:tblStyle w:val="CDI-StandardTable"/>
        <w:tblW w:w="0" w:type="auto"/>
        <w:tblLook w:val="04A0" w:firstRow="1" w:lastRow="0" w:firstColumn="1" w:lastColumn="0" w:noHBand="0" w:noVBand="1"/>
        <w:tblDescription w:val="A table comparing deaths due to COVID-19 in the current four-week reporting period ending 29 August 2021 and for the year to date with deaths during the same period in 2020 (i.e., 1 January – 29 August 2020). Thirty-seven COVID-19 deaths occurred in the most recent reporting period, out of 13,252 notified cases, corresponding to a case fatality rate of &lt; 1%. There have been 97 COVID-19 deaths out of 23,935 notified cases during the calendar year to date, corresponding to a case fatality rate of &lt; 1% for the year to date. In contrast, there were 854 deaths due to COVID-19 during 1 January to 29 August 2020 (a case fatality rate of 4%), while the epidemic to date has seen a total of 1,006 deaths among 52,345 total cases (a case fatality rate of 2%).&#10;"/>
      </w:tblPr>
      <w:tblGrid>
        <w:gridCol w:w="4620"/>
        <w:gridCol w:w="3035"/>
        <w:gridCol w:w="2785"/>
      </w:tblGrid>
      <w:tr w:rsidR="00107B14" w:rsidRPr="005220C5" w14:paraId="461EF341" w14:textId="77777777" w:rsidTr="00CD71A3">
        <w:trPr>
          <w:cnfStyle w:val="100000000000" w:firstRow="1" w:lastRow="0" w:firstColumn="0" w:lastColumn="0" w:oddVBand="0" w:evenVBand="0" w:oddHBand="0" w:evenHBand="0" w:firstRowFirstColumn="0" w:firstRowLastColumn="0" w:lastRowFirstColumn="0" w:lastRowLastColumn="0"/>
        </w:trPr>
        <w:tc>
          <w:tcPr>
            <w:tcW w:w="0" w:type="auto"/>
            <w:tcBorders>
              <w:right w:val="single" w:sz="2" w:space="0" w:color="FFFFFF" w:themeColor="background1"/>
            </w:tcBorders>
            <w:hideMark/>
          </w:tcPr>
          <w:p w14:paraId="7800B1A6" w14:textId="77777777" w:rsidR="00107B14" w:rsidRPr="005220C5" w:rsidRDefault="00107B14" w:rsidP="00CD71A3">
            <w:pPr>
              <w:pStyle w:val="NormalWeb"/>
              <w:rPr>
                <w:color w:val="FFFFFF" w:themeColor="background1"/>
              </w:rPr>
            </w:pPr>
            <w:r w:rsidRPr="005220C5">
              <w:rPr>
                <w:color w:val="FFFFFF" w:themeColor="background1"/>
              </w:rPr>
              <w:t>Reporting period</w:t>
            </w:r>
          </w:p>
        </w:tc>
        <w:tc>
          <w:tcPr>
            <w:tcW w:w="3035" w:type="dxa"/>
            <w:tcBorders>
              <w:left w:val="single" w:sz="2" w:space="0" w:color="FFFFFF" w:themeColor="background1"/>
              <w:right w:val="single" w:sz="2" w:space="0" w:color="FFFFFF" w:themeColor="background1"/>
            </w:tcBorders>
            <w:hideMark/>
          </w:tcPr>
          <w:p w14:paraId="4DAC3201" w14:textId="77777777" w:rsidR="00107B14" w:rsidRPr="005220C5" w:rsidRDefault="00107B14" w:rsidP="00CD71A3">
            <w:pPr>
              <w:pStyle w:val="NormalWeb"/>
              <w:jc w:val="center"/>
              <w:rPr>
                <w:color w:val="FFFFFF" w:themeColor="background1"/>
              </w:rPr>
            </w:pPr>
            <w:r w:rsidRPr="005220C5">
              <w:rPr>
                <w:color w:val="FFFFFF" w:themeColor="background1"/>
              </w:rPr>
              <w:t xml:space="preserve">Number of </w:t>
            </w:r>
            <w:proofErr w:type="spellStart"/>
            <w:r w:rsidRPr="005220C5">
              <w:rPr>
                <w:color w:val="FFFFFF" w:themeColor="background1"/>
              </w:rPr>
              <w:t>deaths</w:t>
            </w:r>
            <w:r w:rsidRPr="00B66200">
              <w:rPr>
                <w:color w:val="FFFFFF" w:themeColor="background1"/>
                <w:vertAlign w:val="superscript"/>
              </w:rPr>
              <w:t>b</w:t>
            </w:r>
            <w:proofErr w:type="spellEnd"/>
          </w:p>
        </w:tc>
        <w:tc>
          <w:tcPr>
            <w:tcW w:w="2785" w:type="dxa"/>
            <w:tcBorders>
              <w:left w:val="single" w:sz="2" w:space="0" w:color="FFFFFF" w:themeColor="background1"/>
            </w:tcBorders>
            <w:hideMark/>
          </w:tcPr>
          <w:p w14:paraId="62071E36" w14:textId="77777777" w:rsidR="00107B14" w:rsidRPr="005220C5" w:rsidRDefault="00107B14" w:rsidP="00CD71A3">
            <w:pPr>
              <w:pStyle w:val="NormalWeb"/>
              <w:jc w:val="center"/>
              <w:rPr>
                <w:color w:val="FFFFFF" w:themeColor="background1"/>
              </w:rPr>
            </w:pPr>
            <w:proofErr w:type="spellStart"/>
            <w:r w:rsidRPr="005220C5">
              <w:rPr>
                <w:color w:val="FFFFFF" w:themeColor="background1"/>
              </w:rPr>
              <w:t>CFR</w:t>
            </w:r>
            <w:r w:rsidRPr="005220C5">
              <w:rPr>
                <w:color w:val="FFFFFF" w:themeColor="background1"/>
                <w:vertAlign w:val="superscript"/>
              </w:rPr>
              <w:t>c</w:t>
            </w:r>
            <w:proofErr w:type="spellEnd"/>
          </w:p>
        </w:tc>
      </w:tr>
      <w:tr w:rsidR="00107B14" w14:paraId="046A661F" w14:textId="77777777" w:rsidTr="00CD71A3">
        <w:tblPrEx>
          <w:tblCellMar>
            <w:top w:w="57" w:type="dxa"/>
            <w:left w:w="57" w:type="dxa"/>
            <w:bottom w:w="57" w:type="dxa"/>
            <w:right w:w="57" w:type="dxa"/>
          </w:tblCellMar>
        </w:tblPrEx>
        <w:tc>
          <w:tcPr>
            <w:tcW w:w="0" w:type="auto"/>
            <w:hideMark/>
          </w:tcPr>
          <w:p w14:paraId="2C66E533" w14:textId="77777777" w:rsidR="00107B14" w:rsidRDefault="00107B14" w:rsidP="00CD71A3">
            <w:pPr>
              <w:pStyle w:val="NormalWeb"/>
            </w:pPr>
            <w:r>
              <w:t>16 – 29 August 2021</w:t>
            </w:r>
          </w:p>
        </w:tc>
        <w:tc>
          <w:tcPr>
            <w:tcW w:w="3035" w:type="dxa"/>
            <w:hideMark/>
          </w:tcPr>
          <w:p w14:paraId="02738E2D" w14:textId="77777777" w:rsidR="00107B14" w:rsidRDefault="00107B14" w:rsidP="00CD71A3">
            <w:pPr>
              <w:pStyle w:val="NormalWeb"/>
              <w:jc w:val="center"/>
            </w:pPr>
            <w:r>
              <w:t>37/13,252</w:t>
            </w:r>
          </w:p>
        </w:tc>
        <w:tc>
          <w:tcPr>
            <w:tcW w:w="2785" w:type="dxa"/>
            <w:hideMark/>
          </w:tcPr>
          <w:p w14:paraId="2622141D" w14:textId="77777777" w:rsidR="00107B14" w:rsidRDefault="00107B14" w:rsidP="00CD71A3">
            <w:pPr>
              <w:pStyle w:val="NormalWeb"/>
              <w:jc w:val="center"/>
            </w:pPr>
            <w:r>
              <w:t>&lt; 1%</w:t>
            </w:r>
          </w:p>
        </w:tc>
      </w:tr>
      <w:tr w:rsidR="00107B14" w14:paraId="630D3DC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0DC659E" w14:textId="77777777" w:rsidR="00107B14" w:rsidRDefault="00107B14" w:rsidP="00CD71A3">
            <w:pPr>
              <w:pStyle w:val="NormalWeb"/>
            </w:pPr>
            <w:r>
              <w:t>Year to date (2021) 1 January – 29 August 2021</w:t>
            </w:r>
          </w:p>
        </w:tc>
        <w:tc>
          <w:tcPr>
            <w:tcW w:w="3035" w:type="dxa"/>
            <w:hideMark/>
          </w:tcPr>
          <w:p w14:paraId="22331446" w14:textId="77777777" w:rsidR="00107B14" w:rsidRDefault="00107B14" w:rsidP="00CD71A3">
            <w:pPr>
              <w:pStyle w:val="NormalWeb"/>
              <w:jc w:val="center"/>
            </w:pPr>
            <w:r>
              <w:t>97/23,935</w:t>
            </w:r>
          </w:p>
        </w:tc>
        <w:tc>
          <w:tcPr>
            <w:tcW w:w="2785" w:type="dxa"/>
            <w:hideMark/>
          </w:tcPr>
          <w:p w14:paraId="1C9D8BE9" w14:textId="77777777" w:rsidR="00107B14" w:rsidRDefault="00107B14" w:rsidP="00CD71A3">
            <w:pPr>
              <w:pStyle w:val="NormalWeb"/>
              <w:jc w:val="center"/>
            </w:pPr>
            <w:r>
              <w:t>&lt; 1%</w:t>
            </w:r>
          </w:p>
        </w:tc>
      </w:tr>
      <w:tr w:rsidR="00107B14" w14:paraId="6F9BBA42" w14:textId="77777777" w:rsidTr="00CD71A3">
        <w:tblPrEx>
          <w:tblCellMar>
            <w:top w:w="57" w:type="dxa"/>
            <w:left w:w="57" w:type="dxa"/>
            <w:bottom w:w="57" w:type="dxa"/>
            <w:right w:w="57" w:type="dxa"/>
          </w:tblCellMar>
        </w:tblPrEx>
        <w:tc>
          <w:tcPr>
            <w:tcW w:w="0" w:type="auto"/>
            <w:hideMark/>
          </w:tcPr>
          <w:p w14:paraId="0E06D79E" w14:textId="77777777" w:rsidR="00107B14" w:rsidRDefault="00107B14" w:rsidP="00CD71A3">
            <w:pPr>
              <w:pStyle w:val="NormalWeb"/>
            </w:pPr>
            <w:r>
              <w:t>Year to date (2020) 1 January – 29 August 2020</w:t>
            </w:r>
          </w:p>
        </w:tc>
        <w:tc>
          <w:tcPr>
            <w:tcW w:w="3035" w:type="dxa"/>
            <w:hideMark/>
          </w:tcPr>
          <w:p w14:paraId="378A7090" w14:textId="77777777" w:rsidR="00107B14" w:rsidRDefault="00107B14" w:rsidP="00CD71A3">
            <w:pPr>
              <w:pStyle w:val="NormalWeb"/>
              <w:jc w:val="center"/>
            </w:pPr>
            <w:r>
              <w:t>854/22,925</w:t>
            </w:r>
          </w:p>
        </w:tc>
        <w:tc>
          <w:tcPr>
            <w:tcW w:w="2785" w:type="dxa"/>
            <w:hideMark/>
          </w:tcPr>
          <w:p w14:paraId="550D0593" w14:textId="77777777" w:rsidR="00107B14" w:rsidRDefault="00107B14" w:rsidP="00CD71A3">
            <w:pPr>
              <w:pStyle w:val="NormalWeb"/>
              <w:jc w:val="center"/>
            </w:pPr>
            <w:r>
              <w:t>4%</w:t>
            </w:r>
          </w:p>
        </w:tc>
      </w:tr>
      <w:tr w:rsidR="00107B14" w14:paraId="4D6833B0" w14:textId="77777777" w:rsidTr="00CD71A3">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4445585C" w14:textId="77777777" w:rsidR="00107B14" w:rsidRDefault="00107B14" w:rsidP="00CD71A3">
            <w:pPr>
              <w:pStyle w:val="NormalWeb"/>
            </w:pPr>
            <w:r>
              <w:t>Epidemic to date 1 January 2020 – 29 August 2021</w:t>
            </w:r>
          </w:p>
        </w:tc>
        <w:tc>
          <w:tcPr>
            <w:tcW w:w="3035" w:type="dxa"/>
            <w:hideMark/>
          </w:tcPr>
          <w:p w14:paraId="335B87EE" w14:textId="77777777" w:rsidR="00107B14" w:rsidRDefault="00107B14" w:rsidP="00CD71A3">
            <w:pPr>
              <w:pStyle w:val="NormalWeb"/>
              <w:jc w:val="center"/>
            </w:pPr>
            <w:r>
              <w:t>1,006/52,345</w:t>
            </w:r>
          </w:p>
        </w:tc>
        <w:tc>
          <w:tcPr>
            <w:tcW w:w="2785" w:type="dxa"/>
            <w:hideMark/>
          </w:tcPr>
          <w:p w14:paraId="597A8C60" w14:textId="77777777" w:rsidR="00107B14" w:rsidRDefault="00107B14" w:rsidP="00CD71A3">
            <w:pPr>
              <w:pStyle w:val="NormalWeb"/>
              <w:jc w:val="center"/>
            </w:pPr>
            <w:r>
              <w:t>2%</w:t>
            </w:r>
          </w:p>
        </w:tc>
      </w:tr>
    </w:tbl>
    <w:p w14:paraId="3193C799" w14:textId="77777777" w:rsidR="00107B14" w:rsidRDefault="00107B14" w:rsidP="00107B14">
      <w:pPr>
        <w:pStyle w:val="CDIfootnotes"/>
        <w:rPr>
          <w:lang w:val="en-GB"/>
        </w:rPr>
      </w:pPr>
      <w:r>
        <w:rPr>
          <w:lang w:val="en-GB"/>
        </w:rPr>
        <w:t>a</w:t>
      </w:r>
      <w:r>
        <w:rPr>
          <w:lang w:val="en-GB"/>
        </w:rPr>
        <w:tab/>
        <w:t>Source: NINDSS, extract from 31 August 2021, based on notification received date.</w:t>
      </w:r>
    </w:p>
    <w:p w14:paraId="0D5CF833" w14:textId="77777777" w:rsidR="00107B14" w:rsidRDefault="00107B14" w:rsidP="00107B14">
      <w:pPr>
        <w:pStyle w:val="CDIfootnotes"/>
        <w:rPr>
          <w:lang w:val="en-GB"/>
        </w:rPr>
      </w:pPr>
      <w:r>
        <w:rPr>
          <w:lang w:val="en-GB"/>
        </w:rPr>
        <w:t>b</w:t>
      </w:r>
      <w:r>
        <w:rPr>
          <w:lang w:val="en-GB"/>
        </w:rPr>
        <w:tab/>
        <w:t>Expressed as deaths/case numbers.</w:t>
      </w:r>
    </w:p>
    <w:p w14:paraId="4196A45C" w14:textId="0F5359B9" w:rsidR="00107B14" w:rsidRPr="00107B14" w:rsidRDefault="00107B14" w:rsidP="00107B14">
      <w:pPr>
        <w:pStyle w:val="CDIfootnotes"/>
        <w:rPr>
          <w:lang w:val="en-GB"/>
        </w:rPr>
      </w:pPr>
      <w:r>
        <w:rPr>
          <w:lang w:val="en-GB"/>
        </w:rPr>
        <w:t>c</w:t>
      </w:r>
      <w:r>
        <w:rPr>
          <w:lang w:val="en-GB"/>
        </w:rPr>
        <w:tab/>
        <w:t>CFR: Crude case fatality rate.</w:t>
      </w:r>
    </w:p>
    <w:p w14:paraId="379E315B" w14:textId="7D8A66CC" w:rsidR="00A32CF3" w:rsidRPr="007220A8" w:rsidRDefault="00A32CF3" w:rsidP="007220A8">
      <w:pPr>
        <w:pStyle w:val="Heading1"/>
      </w:pPr>
      <w:r w:rsidRPr="007220A8">
        <w:t xml:space="preserve">Acknowledgements </w:t>
      </w:r>
    </w:p>
    <w:p w14:paraId="4AD83272" w14:textId="77777777" w:rsidR="00A32CF3" w:rsidRDefault="00A32CF3" w:rsidP="007220A8">
      <w:r>
        <w:t xml:space="preserve">We thank public health staff from incident emergency operations centres and public health units in state and territory health departments, and the Australian Government Department of Health, along with state and territory public health laboratories. </w:t>
      </w:r>
    </w:p>
    <w:p w14:paraId="6314222B" w14:textId="77777777" w:rsidR="00A32CF3" w:rsidRPr="007220A8" w:rsidRDefault="00A32CF3" w:rsidP="007220A8">
      <w:pPr>
        <w:pStyle w:val="Heading1"/>
      </w:pPr>
      <w:r w:rsidRPr="007220A8">
        <w:t xml:space="preserve">Author details </w:t>
      </w:r>
    </w:p>
    <w:p w14:paraId="166FB4E6" w14:textId="77777777" w:rsidR="00A32CF3" w:rsidRPr="007220A8" w:rsidRDefault="00A32CF3" w:rsidP="007220A8">
      <w:pPr>
        <w:pStyle w:val="Heading2"/>
      </w:pPr>
      <w:r w:rsidRPr="007220A8">
        <w:t xml:space="preserve">Corresponding author </w:t>
      </w:r>
    </w:p>
    <w:p w14:paraId="567B96E6" w14:textId="77777777" w:rsidR="00A32CF3" w:rsidRDefault="00A32CF3" w:rsidP="00412D42">
      <w:pPr>
        <w:pStyle w:val="NoSpacing"/>
      </w:pPr>
      <w:r>
        <w:t xml:space="preserve">COVID-19 National Incident Room Surveillance Team </w:t>
      </w:r>
    </w:p>
    <w:p w14:paraId="5E58C9FF" w14:textId="77777777" w:rsidR="00A32CF3" w:rsidRDefault="00A32CF3" w:rsidP="00412D42">
      <w:pPr>
        <w:pStyle w:val="NoSpacing"/>
      </w:pPr>
      <w:r>
        <w:t xml:space="preserve">Australian Government Department of Health, GPO Box 9484, MDP 14, Canberra, ACT 2601. </w:t>
      </w:r>
    </w:p>
    <w:p w14:paraId="0F4A30AE" w14:textId="77777777" w:rsidR="00A32CF3" w:rsidRDefault="00A32CF3" w:rsidP="00412D42">
      <w:pPr>
        <w:pStyle w:val="NoSpacing"/>
      </w:pPr>
      <w:r>
        <w:t>Email: epi.coronavirus@health.gov.au</w:t>
      </w:r>
    </w:p>
    <w:p w14:paraId="2C3A2C0C" w14:textId="77777777" w:rsidR="00A32CF3" w:rsidRPr="007220A8" w:rsidRDefault="00A32CF3" w:rsidP="007220A8">
      <w:pPr>
        <w:pStyle w:val="Heading1"/>
      </w:pPr>
      <w:r w:rsidRPr="007220A8">
        <w:t xml:space="preserve">References </w:t>
      </w:r>
    </w:p>
    <w:p w14:paraId="4EB8A1F9" w14:textId="77777777" w:rsidR="00A32CF3" w:rsidRPr="007220A8" w:rsidRDefault="00A32CF3" w:rsidP="007220A8">
      <w:pPr>
        <w:pStyle w:val="ListParagraph"/>
        <w:numPr>
          <w:ilvl w:val="0"/>
          <w:numId w:val="8"/>
        </w:numPr>
        <w:rPr>
          <w:rFonts w:eastAsia="Times New Roman"/>
        </w:rPr>
      </w:pPr>
      <w:r w:rsidRPr="007220A8">
        <w:rPr>
          <w:rFonts w:eastAsia="Times New Roman"/>
        </w:rPr>
        <w:t xml:space="preserve">COVID-19 National Incident Room Surveillance Team. COVID-19 Australia: Epidemiology Report 48: Reporting period ending 15 August 2021. </w:t>
      </w:r>
      <w:proofErr w:type="spellStart"/>
      <w:r w:rsidRPr="007220A8">
        <w:rPr>
          <w:rStyle w:val="Emphasis"/>
          <w:rFonts w:eastAsia="Times New Roman"/>
          <w:b w:val="0"/>
          <w:bCs w:val="0"/>
        </w:rPr>
        <w:t>Commun</w:t>
      </w:r>
      <w:proofErr w:type="spellEnd"/>
      <w:r w:rsidRPr="007220A8">
        <w:rPr>
          <w:rStyle w:val="Emphasis"/>
          <w:rFonts w:eastAsia="Times New Roman"/>
          <w:b w:val="0"/>
          <w:bCs w:val="0"/>
        </w:rPr>
        <w:t xml:space="preserve"> Dis </w:t>
      </w:r>
      <w:proofErr w:type="spellStart"/>
      <w:r w:rsidRPr="007220A8">
        <w:rPr>
          <w:rStyle w:val="Emphasis"/>
          <w:rFonts w:eastAsia="Times New Roman"/>
          <w:b w:val="0"/>
          <w:bCs w:val="0"/>
        </w:rPr>
        <w:t>Intell</w:t>
      </w:r>
      <w:proofErr w:type="spellEnd"/>
      <w:r w:rsidRPr="007220A8">
        <w:rPr>
          <w:rStyle w:val="Emphasis"/>
          <w:rFonts w:eastAsia="Times New Roman"/>
          <w:b w:val="0"/>
          <w:bCs w:val="0"/>
        </w:rPr>
        <w:t xml:space="preserve"> (2018)</w:t>
      </w:r>
      <w:r w:rsidRPr="007220A8">
        <w:rPr>
          <w:rFonts w:eastAsia="Times New Roman"/>
        </w:rPr>
        <w:t xml:space="preserve">. 2021;45. </w:t>
      </w:r>
      <w:proofErr w:type="spellStart"/>
      <w:r w:rsidRPr="007220A8">
        <w:rPr>
          <w:rFonts w:eastAsia="Times New Roman"/>
        </w:rPr>
        <w:t>doi</w:t>
      </w:r>
      <w:proofErr w:type="spellEnd"/>
      <w:r w:rsidRPr="007220A8">
        <w:rPr>
          <w:rFonts w:eastAsia="Times New Roman"/>
        </w:rPr>
        <w:t xml:space="preserve">: https://doi.org/10.33321/cdi.2021.45.48. </w:t>
      </w:r>
    </w:p>
    <w:p w14:paraId="1C2AB097" w14:textId="77777777" w:rsidR="00A32CF3" w:rsidRPr="007220A8" w:rsidRDefault="00A32CF3" w:rsidP="007220A8">
      <w:pPr>
        <w:pStyle w:val="ListParagraph"/>
        <w:numPr>
          <w:ilvl w:val="0"/>
          <w:numId w:val="8"/>
        </w:numPr>
        <w:rPr>
          <w:rFonts w:eastAsia="Times New Roman"/>
        </w:rPr>
      </w:pPr>
      <w:r w:rsidRPr="007220A8">
        <w:rPr>
          <w:rFonts w:eastAsia="Times New Roman"/>
        </w:rPr>
        <w:t xml:space="preserve">COVID-19 National Incident Room Surveillance Team. Technical supplement. COVID-19 Australia: Epidemiology reporting. </w:t>
      </w:r>
      <w:proofErr w:type="spellStart"/>
      <w:r w:rsidRPr="007220A8">
        <w:rPr>
          <w:rStyle w:val="Emphasis"/>
          <w:rFonts w:eastAsia="Times New Roman"/>
          <w:b w:val="0"/>
          <w:bCs w:val="0"/>
        </w:rPr>
        <w:t>Commun</w:t>
      </w:r>
      <w:proofErr w:type="spellEnd"/>
      <w:r w:rsidRPr="007220A8">
        <w:rPr>
          <w:rStyle w:val="Emphasis"/>
          <w:rFonts w:eastAsia="Times New Roman"/>
          <w:b w:val="0"/>
          <w:bCs w:val="0"/>
        </w:rPr>
        <w:t xml:space="preserve"> Dis </w:t>
      </w:r>
      <w:proofErr w:type="spellStart"/>
      <w:r w:rsidRPr="007220A8">
        <w:rPr>
          <w:rStyle w:val="Emphasis"/>
          <w:rFonts w:eastAsia="Times New Roman"/>
          <w:b w:val="0"/>
          <w:bCs w:val="0"/>
        </w:rPr>
        <w:t>Intell</w:t>
      </w:r>
      <w:proofErr w:type="spellEnd"/>
      <w:r w:rsidRPr="007220A8">
        <w:rPr>
          <w:rStyle w:val="Emphasis"/>
          <w:rFonts w:eastAsia="Times New Roman"/>
          <w:b w:val="0"/>
          <w:bCs w:val="0"/>
        </w:rPr>
        <w:t xml:space="preserve"> (2018)</w:t>
      </w:r>
      <w:r w:rsidRPr="007220A8">
        <w:rPr>
          <w:rFonts w:eastAsia="Times New Roman"/>
        </w:rPr>
        <w:t xml:space="preserve">. 2021;45. </w:t>
      </w:r>
      <w:proofErr w:type="spellStart"/>
      <w:r w:rsidRPr="007220A8">
        <w:rPr>
          <w:rFonts w:eastAsia="Times New Roman"/>
        </w:rPr>
        <w:t>doi</w:t>
      </w:r>
      <w:proofErr w:type="spellEnd"/>
      <w:r w:rsidRPr="007220A8">
        <w:rPr>
          <w:rFonts w:eastAsia="Times New Roman"/>
        </w:rPr>
        <w:t xml:space="preserve">: https://doi.org/10.33321/cdi.2021.45.2. </w:t>
      </w:r>
    </w:p>
    <w:p w14:paraId="2CC5503F" w14:textId="77777777" w:rsidR="00A32CF3" w:rsidRPr="007220A8" w:rsidRDefault="00A32CF3" w:rsidP="007220A8">
      <w:pPr>
        <w:pStyle w:val="ListParagraph"/>
        <w:numPr>
          <w:ilvl w:val="0"/>
          <w:numId w:val="8"/>
        </w:numPr>
        <w:rPr>
          <w:rFonts w:eastAsia="Times New Roman"/>
        </w:rPr>
      </w:pPr>
      <w:r w:rsidRPr="007220A8">
        <w:rPr>
          <w:rFonts w:eastAsia="Times New Roman"/>
        </w:rPr>
        <w:t xml:space="preserve">Australian Government Department of Health. Getting vaccinated for COVID-19: Australia’s vaccine rollout. [Internet.] Canberra: Australian Government Department of Health; 2021. [Accessed on 2 August 2021.] Available from: https://www.health.gov.au/initiatives-and-programs/covid-19-vaccines/getting-vaccinated-for-covid-19#australias-vaccine-rollout. </w:t>
      </w:r>
    </w:p>
    <w:p w14:paraId="28A44DFD" w14:textId="77777777" w:rsidR="00A32CF3" w:rsidRPr="007220A8" w:rsidRDefault="00A32CF3" w:rsidP="007220A8">
      <w:pPr>
        <w:pStyle w:val="ListParagraph"/>
        <w:numPr>
          <w:ilvl w:val="0"/>
          <w:numId w:val="8"/>
        </w:numPr>
        <w:rPr>
          <w:rFonts w:eastAsia="Times New Roman"/>
        </w:rPr>
      </w:pPr>
      <w:r w:rsidRPr="007220A8">
        <w:rPr>
          <w:rFonts w:eastAsia="Times New Roman"/>
        </w:rPr>
        <w:t>Australian and New Zealand Intensive Care Research Centre (ANZIC-RC). SPRINT-SARI: Short period incidence study of severe acute respiratory infection. [Internet.] Melbourne: Monash University; 2020. Available from: https://www.anzics.com.au/current-active-endorsed-research/sprint-sari/.</w:t>
      </w:r>
    </w:p>
    <w:p w14:paraId="3FB3C35D" w14:textId="77777777" w:rsidR="00107B14" w:rsidRDefault="00107B14" w:rsidP="007220A8">
      <w:pPr>
        <w:pStyle w:val="Heading1"/>
        <w:sectPr w:rsidR="00107B14" w:rsidSect="00A30C37">
          <w:footnotePr>
            <w:numFmt w:val="lowerRoman"/>
          </w:footnotePr>
          <w:pgSz w:w="11906" w:h="16838"/>
          <w:pgMar w:top="720" w:right="720" w:bottom="1134" w:left="720" w:header="709" w:footer="284" w:gutter="0"/>
          <w:cols w:space="708"/>
          <w:titlePg/>
          <w:docGrid w:linePitch="360"/>
        </w:sectPr>
      </w:pPr>
    </w:p>
    <w:p w14:paraId="4250B93A" w14:textId="20FDB274" w:rsidR="00A32CF3" w:rsidRPr="007220A8" w:rsidRDefault="00A32CF3" w:rsidP="007220A8">
      <w:pPr>
        <w:pStyle w:val="Heading1"/>
      </w:pPr>
      <w:r w:rsidRPr="007220A8">
        <w:lastRenderedPageBreak/>
        <w:t>Appendix A: Supplementary figures and tables</w:t>
      </w:r>
    </w:p>
    <w:p w14:paraId="6E5A9B9A" w14:textId="77777777" w:rsidR="00107B14" w:rsidRPr="005220C5" w:rsidRDefault="00107B14" w:rsidP="00107B14">
      <w:pPr>
        <w:pStyle w:val="CDIFigures"/>
      </w:pPr>
      <w:r w:rsidRPr="005220C5">
        <w:rPr>
          <w:rStyle w:val="Strong"/>
          <w:b/>
          <w:bCs w:val="0"/>
        </w:rPr>
        <w:t>Table A.1: COVID-19 cases and rates per 100,000 population, by age group, sex and diagnosis date Australia, 29 August 2021</w:t>
      </w:r>
      <w:proofErr w:type="gramStart"/>
      <w:r w:rsidRPr="005220C5">
        <w:rPr>
          <w:rStyle w:val="Strong"/>
          <w:b/>
          <w:bCs w:val="0"/>
          <w:vertAlign w:val="superscript"/>
        </w:rPr>
        <w:t>a,b</w:t>
      </w:r>
      <w:proofErr w:type="gramEnd"/>
    </w:p>
    <w:tbl>
      <w:tblPr>
        <w:tblStyle w:val="CDI-StandardTable"/>
        <w:tblW w:w="0" w:type="auto"/>
        <w:tblLook w:val="04A0" w:firstRow="1" w:lastRow="0" w:firstColumn="1" w:lastColumn="0" w:noHBand="0" w:noVBand="1"/>
        <w:tblDescription w:val="This table summarises cumulative and four-weekly confirmed cases and rates per 100,000 population, as a function of age group and sex."/>
      </w:tblPr>
      <w:tblGrid>
        <w:gridCol w:w="1175"/>
        <w:gridCol w:w="1150"/>
        <w:gridCol w:w="1151"/>
        <w:gridCol w:w="1151"/>
        <w:gridCol w:w="1151"/>
        <w:gridCol w:w="1151"/>
        <w:gridCol w:w="1151"/>
        <w:gridCol w:w="1134"/>
        <w:gridCol w:w="1134"/>
        <w:gridCol w:w="1135"/>
        <w:gridCol w:w="1134"/>
        <w:gridCol w:w="1134"/>
        <w:gridCol w:w="1135"/>
      </w:tblGrid>
      <w:tr w:rsidR="00107B14" w:rsidRPr="005220C5" w14:paraId="451FDDA4" w14:textId="77777777" w:rsidTr="003E0394">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25105477" w14:textId="77777777" w:rsidR="00107B14" w:rsidRPr="005220C5" w:rsidRDefault="00107B14" w:rsidP="00CD71A3">
            <w:pPr>
              <w:pStyle w:val="NormalWeb"/>
              <w:rPr>
                <w:color w:val="FFFFFF" w:themeColor="background1"/>
              </w:rPr>
            </w:pPr>
            <w:r w:rsidRPr="005220C5">
              <w:rPr>
                <w:color w:val="FFFFFF" w:themeColor="background1"/>
              </w:rPr>
              <w:t>Age group</w:t>
            </w:r>
          </w:p>
        </w:tc>
        <w:tc>
          <w:tcPr>
            <w:tcW w:w="6905" w:type="dxa"/>
            <w:gridSpan w:val="6"/>
            <w:tcBorders>
              <w:left w:val="single" w:sz="2" w:space="0" w:color="FFFFFF" w:themeColor="background1"/>
              <w:bottom w:val="single" w:sz="2" w:space="0" w:color="FFFFFF" w:themeColor="background1"/>
              <w:right w:val="single" w:sz="2" w:space="0" w:color="FFFFFF" w:themeColor="background1"/>
            </w:tcBorders>
            <w:hideMark/>
          </w:tcPr>
          <w:p w14:paraId="7E8513E5" w14:textId="77777777" w:rsidR="00107B14" w:rsidRPr="005220C5" w:rsidRDefault="00107B14" w:rsidP="00CD71A3">
            <w:pPr>
              <w:pStyle w:val="NormalWeb"/>
              <w:jc w:val="center"/>
              <w:rPr>
                <w:color w:val="FFFFFF" w:themeColor="background1"/>
              </w:rPr>
            </w:pPr>
            <w:r w:rsidRPr="005220C5">
              <w:rPr>
                <w:color w:val="FFFFFF" w:themeColor="background1"/>
              </w:rPr>
              <w:t>This reporting period</w:t>
            </w:r>
          </w:p>
        </w:tc>
        <w:tc>
          <w:tcPr>
            <w:tcW w:w="6806" w:type="dxa"/>
            <w:gridSpan w:val="6"/>
            <w:tcBorders>
              <w:left w:val="single" w:sz="2" w:space="0" w:color="FFFFFF" w:themeColor="background1"/>
              <w:bottom w:val="single" w:sz="2" w:space="0" w:color="FFFFFF" w:themeColor="background1"/>
            </w:tcBorders>
            <w:hideMark/>
          </w:tcPr>
          <w:p w14:paraId="52594102" w14:textId="77777777" w:rsidR="00107B14" w:rsidRPr="005220C5" w:rsidRDefault="00107B14" w:rsidP="00CD71A3">
            <w:pPr>
              <w:pStyle w:val="NormalWeb"/>
              <w:jc w:val="center"/>
              <w:rPr>
                <w:color w:val="FFFFFF" w:themeColor="background1"/>
              </w:rPr>
            </w:pPr>
            <w:r w:rsidRPr="005220C5">
              <w:rPr>
                <w:color w:val="FFFFFF" w:themeColor="background1"/>
              </w:rPr>
              <w:t xml:space="preserve">This </w:t>
            </w:r>
            <w:proofErr w:type="spellStart"/>
            <w:r w:rsidRPr="005220C5">
              <w:rPr>
                <w:color w:val="FFFFFF" w:themeColor="background1"/>
              </w:rPr>
              <w:t>year</w:t>
            </w:r>
            <w:r w:rsidRPr="00720647">
              <w:rPr>
                <w:color w:val="FFFFFF" w:themeColor="background1"/>
                <w:vertAlign w:val="superscript"/>
              </w:rPr>
              <w:t>c</w:t>
            </w:r>
            <w:proofErr w:type="spellEnd"/>
          </w:p>
        </w:tc>
      </w:tr>
      <w:tr w:rsidR="00107B14" w:rsidRPr="005220C5" w14:paraId="2C39F35C" w14:textId="77777777" w:rsidTr="003E0394">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single" w:sz="2" w:space="0" w:color="FFFFFF" w:themeColor="background1"/>
              <w:right w:val="single" w:sz="2" w:space="0" w:color="FFFFFF" w:themeColor="background1"/>
            </w:tcBorders>
            <w:hideMark/>
          </w:tcPr>
          <w:p w14:paraId="7286B657" w14:textId="77777777" w:rsidR="00107B14" w:rsidRPr="005220C5" w:rsidRDefault="00107B14" w:rsidP="00CD71A3">
            <w:pPr>
              <w:rPr>
                <w:color w:val="FFFFFF" w:themeColor="background1"/>
                <w:sz w:val="24"/>
                <w:szCs w:val="24"/>
              </w:rPr>
            </w:pPr>
          </w:p>
        </w:tc>
        <w:tc>
          <w:tcPr>
            <w:tcW w:w="690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350E18AC" w14:textId="77777777" w:rsidR="00107B14" w:rsidRPr="005220C5" w:rsidRDefault="00107B14" w:rsidP="00CD71A3">
            <w:pPr>
              <w:pStyle w:val="NormalWeb"/>
              <w:jc w:val="center"/>
              <w:rPr>
                <w:color w:val="FFFFFF" w:themeColor="background1"/>
              </w:rPr>
            </w:pPr>
            <w:r w:rsidRPr="005220C5">
              <w:rPr>
                <w:color w:val="FFFFFF" w:themeColor="background1"/>
              </w:rPr>
              <w:t>16–29 August 2021</w:t>
            </w:r>
          </w:p>
        </w:tc>
        <w:tc>
          <w:tcPr>
            <w:tcW w:w="6806" w:type="dxa"/>
            <w:gridSpan w:val="6"/>
            <w:tcBorders>
              <w:top w:val="single" w:sz="2" w:space="0" w:color="FFFFFF" w:themeColor="background1"/>
              <w:left w:val="single" w:sz="2" w:space="0" w:color="FFFFFF" w:themeColor="background1"/>
              <w:bottom w:val="single" w:sz="2" w:space="0" w:color="FFFFFF" w:themeColor="background1"/>
            </w:tcBorders>
            <w:hideMark/>
          </w:tcPr>
          <w:p w14:paraId="78D55C11" w14:textId="77777777" w:rsidR="00107B14" w:rsidRPr="005220C5" w:rsidRDefault="00107B14" w:rsidP="00CD71A3">
            <w:pPr>
              <w:pStyle w:val="NormalWeb"/>
              <w:jc w:val="center"/>
              <w:rPr>
                <w:color w:val="FFFFFF" w:themeColor="background1"/>
              </w:rPr>
            </w:pPr>
            <w:r w:rsidRPr="005220C5">
              <w:rPr>
                <w:color w:val="FFFFFF" w:themeColor="background1"/>
              </w:rPr>
              <w:t>1 January 2021 – 29 August 2021</w:t>
            </w:r>
          </w:p>
        </w:tc>
      </w:tr>
      <w:tr w:rsidR="00107B14" w:rsidRPr="005220C5" w14:paraId="3741CF5F" w14:textId="77777777" w:rsidTr="003E0394">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single" w:sz="2" w:space="0" w:color="FFFFFF" w:themeColor="background1"/>
              <w:right w:val="single" w:sz="2" w:space="0" w:color="FFFFFF" w:themeColor="background1"/>
            </w:tcBorders>
            <w:hideMark/>
          </w:tcPr>
          <w:p w14:paraId="4639DB93" w14:textId="77777777" w:rsidR="00107B14" w:rsidRPr="005220C5" w:rsidRDefault="00107B14" w:rsidP="00CD71A3">
            <w:pPr>
              <w:rPr>
                <w:color w:val="FFFFFF" w:themeColor="background1"/>
                <w:sz w:val="24"/>
                <w:szCs w:val="24"/>
              </w:rPr>
            </w:pPr>
          </w:p>
        </w:tc>
        <w:tc>
          <w:tcPr>
            <w:tcW w:w="345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34A9775C" w14:textId="77777777" w:rsidR="00107B14" w:rsidRPr="005220C5" w:rsidRDefault="00107B14" w:rsidP="00CD71A3">
            <w:pPr>
              <w:pStyle w:val="NormalWeb"/>
              <w:jc w:val="center"/>
              <w:rPr>
                <w:color w:val="FFFFFF" w:themeColor="background1"/>
              </w:rPr>
            </w:pPr>
            <w:r w:rsidRPr="005220C5">
              <w:rPr>
                <w:color w:val="FFFFFF" w:themeColor="background1"/>
              </w:rPr>
              <w:t>Cases</w:t>
            </w:r>
          </w:p>
        </w:tc>
        <w:tc>
          <w:tcPr>
            <w:tcW w:w="3453"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6454DFE8" w14:textId="77777777" w:rsidR="00107B14" w:rsidRPr="005220C5" w:rsidRDefault="00107B14" w:rsidP="00CD71A3">
            <w:pPr>
              <w:pStyle w:val="NormalWeb"/>
              <w:jc w:val="center"/>
              <w:rPr>
                <w:color w:val="FFFFFF" w:themeColor="background1"/>
              </w:rPr>
            </w:pPr>
            <w:r w:rsidRPr="005220C5">
              <w:rPr>
                <w:color w:val="FFFFFF" w:themeColor="background1"/>
              </w:rPr>
              <w:t>Rate per 100,000 population</w:t>
            </w:r>
          </w:p>
        </w:tc>
        <w:tc>
          <w:tcPr>
            <w:tcW w:w="3403"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271EBF2B" w14:textId="77777777" w:rsidR="00107B14" w:rsidRPr="005220C5" w:rsidRDefault="00107B14" w:rsidP="00CD71A3">
            <w:pPr>
              <w:pStyle w:val="NormalWeb"/>
              <w:jc w:val="center"/>
              <w:rPr>
                <w:color w:val="FFFFFF" w:themeColor="background1"/>
              </w:rPr>
            </w:pPr>
            <w:r w:rsidRPr="005220C5">
              <w:rPr>
                <w:color w:val="FFFFFF" w:themeColor="background1"/>
              </w:rPr>
              <w:t>Cases</w:t>
            </w:r>
          </w:p>
        </w:tc>
        <w:tc>
          <w:tcPr>
            <w:tcW w:w="3403" w:type="dxa"/>
            <w:gridSpan w:val="3"/>
            <w:tcBorders>
              <w:top w:val="single" w:sz="2" w:space="0" w:color="FFFFFF" w:themeColor="background1"/>
              <w:left w:val="single" w:sz="2" w:space="0" w:color="FFFFFF" w:themeColor="background1"/>
              <w:bottom w:val="single" w:sz="2" w:space="0" w:color="FFFFFF" w:themeColor="background1"/>
            </w:tcBorders>
            <w:hideMark/>
          </w:tcPr>
          <w:p w14:paraId="6198A012" w14:textId="77777777" w:rsidR="00107B14" w:rsidRPr="005220C5" w:rsidRDefault="00107B14" w:rsidP="00CD71A3">
            <w:pPr>
              <w:pStyle w:val="NormalWeb"/>
              <w:jc w:val="center"/>
              <w:rPr>
                <w:color w:val="FFFFFF" w:themeColor="background1"/>
              </w:rPr>
            </w:pPr>
            <w:r w:rsidRPr="005220C5">
              <w:rPr>
                <w:color w:val="FFFFFF" w:themeColor="background1"/>
              </w:rPr>
              <w:t>Rate per 100,000 population</w:t>
            </w:r>
          </w:p>
        </w:tc>
      </w:tr>
      <w:tr w:rsidR="00107B14" w:rsidRPr="005220C5" w14:paraId="264EAE37" w14:textId="77777777" w:rsidTr="003E0394">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72BD3A83" w14:textId="77777777" w:rsidR="00107B14" w:rsidRPr="005220C5" w:rsidRDefault="00107B14" w:rsidP="00CD71A3">
            <w:pPr>
              <w:rPr>
                <w:color w:val="FFFFFF" w:themeColor="background1"/>
                <w:sz w:val="24"/>
                <w:szCs w:val="24"/>
              </w:rPr>
            </w:pPr>
          </w:p>
        </w:tc>
        <w:tc>
          <w:tcPr>
            <w:tcW w:w="1150" w:type="dxa"/>
            <w:tcBorders>
              <w:top w:val="single" w:sz="2" w:space="0" w:color="FFFFFF" w:themeColor="background1"/>
              <w:left w:val="single" w:sz="2" w:space="0" w:color="FFFFFF" w:themeColor="background1"/>
              <w:right w:val="single" w:sz="2" w:space="0" w:color="FFFFFF" w:themeColor="background1"/>
            </w:tcBorders>
            <w:hideMark/>
          </w:tcPr>
          <w:p w14:paraId="607AACF9" w14:textId="77777777" w:rsidR="00107B14" w:rsidRPr="005220C5" w:rsidRDefault="00107B14" w:rsidP="00CD71A3">
            <w:pPr>
              <w:pStyle w:val="NormalWeb"/>
              <w:jc w:val="center"/>
              <w:rPr>
                <w:color w:val="FFFFFF" w:themeColor="background1"/>
              </w:rPr>
            </w:pPr>
            <w:r w:rsidRPr="005220C5">
              <w:rPr>
                <w:color w:val="FFFFFF" w:themeColor="background1"/>
              </w:rPr>
              <w:t>Male</w:t>
            </w:r>
          </w:p>
        </w:tc>
        <w:tc>
          <w:tcPr>
            <w:tcW w:w="1151" w:type="dxa"/>
            <w:tcBorders>
              <w:top w:val="single" w:sz="2" w:space="0" w:color="FFFFFF" w:themeColor="background1"/>
              <w:left w:val="single" w:sz="2" w:space="0" w:color="FFFFFF" w:themeColor="background1"/>
              <w:right w:val="single" w:sz="2" w:space="0" w:color="FFFFFF" w:themeColor="background1"/>
            </w:tcBorders>
            <w:hideMark/>
          </w:tcPr>
          <w:p w14:paraId="5D4AB02F" w14:textId="77777777" w:rsidR="00107B14" w:rsidRPr="005220C5" w:rsidRDefault="00107B14" w:rsidP="00CD71A3">
            <w:pPr>
              <w:pStyle w:val="NormalWeb"/>
              <w:jc w:val="center"/>
              <w:rPr>
                <w:color w:val="FFFFFF" w:themeColor="background1"/>
              </w:rPr>
            </w:pPr>
            <w:r w:rsidRPr="005220C5">
              <w:rPr>
                <w:color w:val="FFFFFF" w:themeColor="background1"/>
              </w:rPr>
              <w:t>Female</w:t>
            </w:r>
          </w:p>
        </w:tc>
        <w:tc>
          <w:tcPr>
            <w:tcW w:w="1151" w:type="dxa"/>
            <w:tcBorders>
              <w:top w:val="single" w:sz="2" w:space="0" w:color="FFFFFF" w:themeColor="background1"/>
              <w:left w:val="single" w:sz="2" w:space="0" w:color="FFFFFF" w:themeColor="background1"/>
              <w:right w:val="single" w:sz="2" w:space="0" w:color="FFFFFF" w:themeColor="background1"/>
            </w:tcBorders>
            <w:hideMark/>
          </w:tcPr>
          <w:p w14:paraId="1555F237" w14:textId="77777777" w:rsidR="00107B14" w:rsidRPr="005220C5" w:rsidRDefault="00107B14" w:rsidP="00CD71A3">
            <w:pPr>
              <w:pStyle w:val="NormalWeb"/>
              <w:jc w:val="center"/>
              <w:rPr>
                <w:color w:val="FFFFFF" w:themeColor="background1"/>
              </w:rPr>
            </w:pPr>
            <w:r w:rsidRPr="005220C5">
              <w:rPr>
                <w:color w:val="FFFFFF" w:themeColor="background1"/>
              </w:rPr>
              <w:t>People</w:t>
            </w:r>
          </w:p>
        </w:tc>
        <w:tc>
          <w:tcPr>
            <w:tcW w:w="1151" w:type="dxa"/>
            <w:tcBorders>
              <w:top w:val="single" w:sz="2" w:space="0" w:color="FFFFFF" w:themeColor="background1"/>
              <w:left w:val="single" w:sz="2" w:space="0" w:color="FFFFFF" w:themeColor="background1"/>
              <w:right w:val="single" w:sz="2" w:space="0" w:color="FFFFFF" w:themeColor="background1"/>
            </w:tcBorders>
            <w:hideMark/>
          </w:tcPr>
          <w:p w14:paraId="1D39D41E" w14:textId="77777777" w:rsidR="00107B14" w:rsidRPr="005220C5" w:rsidRDefault="00107B14" w:rsidP="00CD71A3">
            <w:pPr>
              <w:pStyle w:val="NormalWeb"/>
              <w:jc w:val="center"/>
              <w:rPr>
                <w:color w:val="FFFFFF" w:themeColor="background1"/>
              </w:rPr>
            </w:pPr>
            <w:r w:rsidRPr="005220C5">
              <w:rPr>
                <w:color w:val="FFFFFF" w:themeColor="background1"/>
              </w:rPr>
              <w:t>Male</w:t>
            </w:r>
          </w:p>
        </w:tc>
        <w:tc>
          <w:tcPr>
            <w:tcW w:w="1151" w:type="dxa"/>
            <w:tcBorders>
              <w:top w:val="single" w:sz="2" w:space="0" w:color="FFFFFF" w:themeColor="background1"/>
              <w:left w:val="single" w:sz="2" w:space="0" w:color="FFFFFF" w:themeColor="background1"/>
              <w:right w:val="single" w:sz="2" w:space="0" w:color="FFFFFF" w:themeColor="background1"/>
            </w:tcBorders>
            <w:hideMark/>
          </w:tcPr>
          <w:p w14:paraId="4E8B35D9" w14:textId="77777777" w:rsidR="00107B14" w:rsidRPr="005220C5" w:rsidRDefault="00107B14" w:rsidP="00CD71A3">
            <w:pPr>
              <w:pStyle w:val="NormalWeb"/>
              <w:jc w:val="center"/>
              <w:rPr>
                <w:color w:val="FFFFFF" w:themeColor="background1"/>
              </w:rPr>
            </w:pPr>
            <w:r w:rsidRPr="005220C5">
              <w:rPr>
                <w:color w:val="FFFFFF" w:themeColor="background1"/>
              </w:rPr>
              <w:t>Female</w:t>
            </w:r>
          </w:p>
        </w:tc>
        <w:tc>
          <w:tcPr>
            <w:tcW w:w="1151" w:type="dxa"/>
            <w:tcBorders>
              <w:top w:val="single" w:sz="2" w:space="0" w:color="FFFFFF" w:themeColor="background1"/>
              <w:left w:val="single" w:sz="2" w:space="0" w:color="FFFFFF" w:themeColor="background1"/>
              <w:right w:val="single" w:sz="2" w:space="0" w:color="FFFFFF" w:themeColor="background1"/>
            </w:tcBorders>
            <w:hideMark/>
          </w:tcPr>
          <w:p w14:paraId="4D9DB374" w14:textId="77777777" w:rsidR="00107B14" w:rsidRPr="005220C5" w:rsidRDefault="00107B14" w:rsidP="00CD71A3">
            <w:pPr>
              <w:pStyle w:val="NormalWeb"/>
              <w:jc w:val="center"/>
              <w:rPr>
                <w:color w:val="FFFFFF" w:themeColor="background1"/>
              </w:rPr>
            </w:pPr>
            <w:r w:rsidRPr="005220C5">
              <w:rPr>
                <w:color w:val="FFFFFF" w:themeColor="background1"/>
              </w:rPr>
              <w:t>People</w:t>
            </w: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14:paraId="35FA3904" w14:textId="77777777" w:rsidR="00107B14" w:rsidRPr="005220C5" w:rsidRDefault="00107B14" w:rsidP="00CD71A3">
            <w:pPr>
              <w:pStyle w:val="NormalWeb"/>
              <w:jc w:val="center"/>
              <w:rPr>
                <w:color w:val="FFFFFF" w:themeColor="background1"/>
              </w:rPr>
            </w:pPr>
            <w:r w:rsidRPr="005220C5">
              <w:rPr>
                <w:color w:val="FFFFFF" w:themeColor="background1"/>
              </w:rPr>
              <w:t>Male</w:t>
            </w: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14:paraId="5B6A1A0E" w14:textId="77777777" w:rsidR="00107B14" w:rsidRPr="005220C5" w:rsidRDefault="00107B14" w:rsidP="00CD71A3">
            <w:pPr>
              <w:pStyle w:val="NormalWeb"/>
              <w:jc w:val="center"/>
              <w:rPr>
                <w:color w:val="FFFFFF" w:themeColor="background1"/>
              </w:rPr>
            </w:pPr>
            <w:r w:rsidRPr="005220C5">
              <w:rPr>
                <w:color w:val="FFFFFF" w:themeColor="background1"/>
              </w:rPr>
              <w:t>Female</w:t>
            </w:r>
          </w:p>
        </w:tc>
        <w:tc>
          <w:tcPr>
            <w:tcW w:w="1135" w:type="dxa"/>
            <w:tcBorders>
              <w:top w:val="single" w:sz="2" w:space="0" w:color="FFFFFF" w:themeColor="background1"/>
              <w:left w:val="single" w:sz="2" w:space="0" w:color="FFFFFF" w:themeColor="background1"/>
              <w:right w:val="single" w:sz="2" w:space="0" w:color="FFFFFF" w:themeColor="background1"/>
            </w:tcBorders>
            <w:hideMark/>
          </w:tcPr>
          <w:p w14:paraId="10766F7E" w14:textId="77777777" w:rsidR="00107B14" w:rsidRPr="005220C5" w:rsidRDefault="00107B14" w:rsidP="00CD71A3">
            <w:pPr>
              <w:pStyle w:val="NormalWeb"/>
              <w:jc w:val="center"/>
              <w:rPr>
                <w:color w:val="FFFFFF" w:themeColor="background1"/>
              </w:rPr>
            </w:pPr>
            <w:r w:rsidRPr="005220C5">
              <w:rPr>
                <w:color w:val="FFFFFF" w:themeColor="background1"/>
              </w:rPr>
              <w:t>People</w:t>
            </w: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14:paraId="2A9FF789" w14:textId="77777777" w:rsidR="00107B14" w:rsidRPr="005220C5" w:rsidRDefault="00107B14" w:rsidP="00CD71A3">
            <w:pPr>
              <w:pStyle w:val="NormalWeb"/>
              <w:jc w:val="center"/>
              <w:rPr>
                <w:color w:val="FFFFFF" w:themeColor="background1"/>
              </w:rPr>
            </w:pPr>
            <w:r w:rsidRPr="005220C5">
              <w:rPr>
                <w:color w:val="FFFFFF" w:themeColor="background1"/>
              </w:rPr>
              <w:t>Male</w:t>
            </w: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14:paraId="55E8168A" w14:textId="77777777" w:rsidR="00107B14" w:rsidRPr="005220C5" w:rsidRDefault="00107B14" w:rsidP="00CD71A3">
            <w:pPr>
              <w:pStyle w:val="NormalWeb"/>
              <w:jc w:val="center"/>
              <w:rPr>
                <w:color w:val="FFFFFF" w:themeColor="background1"/>
              </w:rPr>
            </w:pPr>
            <w:r w:rsidRPr="005220C5">
              <w:rPr>
                <w:color w:val="FFFFFF" w:themeColor="background1"/>
              </w:rPr>
              <w:t>Female</w:t>
            </w:r>
          </w:p>
        </w:tc>
        <w:tc>
          <w:tcPr>
            <w:tcW w:w="1135" w:type="dxa"/>
            <w:tcBorders>
              <w:top w:val="single" w:sz="2" w:space="0" w:color="FFFFFF" w:themeColor="background1"/>
              <w:left w:val="single" w:sz="2" w:space="0" w:color="FFFFFF" w:themeColor="background1"/>
            </w:tcBorders>
            <w:hideMark/>
          </w:tcPr>
          <w:p w14:paraId="43B588D2" w14:textId="77777777" w:rsidR="00107B14" w:rsidRPr="005220C5" w:rsidRDefault="00107B14" w:rsidP="00CD71A3">
            <w:pPr>
              <w:pStyle w:val="NormalWeb"/>
              <w:jc w:val="center"/>
              <w:rPr>
                <w:color w:val="FFFFFF" w:themeColor="background1"/>
              </w:rPr>
            </w:pPr>
            <w:r w:rsidRPr="005220C5">
              <w:rPr>
                <w:color w:val="FFFFFF" w:themeColor="background1"/>
              </w:rPr>
              <w:t>People</w:t>
            </w:r>
          </w:p>
        </w:tc>
      </w:tr>
      <w:tr w:rsidR="00107B14" w14:paraId="6C04EBD1" w14:textId="77777777" w:rsidTr="003E0394">
        <w:tblPrEx>
          <w:tblCellMar>
            <w:top w:w="57" w:type="dxa"/>
            <w:left w:w="57" w:type="dxa"/>
            <w:bottom w:w="57" w:type="dxa"/>
            <w:right w:w="57" w:type="dxa"/>
          </w:tblCellMar>
        </w:tblPrEx>
        <w:tc>
          <w:tcPr>
            <w:tcW w:w="0" w:type="auto"/>
            <w:hideMark/>
          </w:tcPr>
          <w:p w14:paraId="337E4A39" w14:textId="77777777" w:rsidR="00107B14" w:rsidRDefault="00107B14" w:rsidP="00CD71A3">
            <w:pPr>
              <w:pStyle w:val="NormalWeb"/>
            </w:pPr>
            <w:r>
              <w:t>0 to 9</w:t>
            </w:r>
          </w:p>
        </w:tc>
        <w:tc>
          <w:tcPr>
            <w:tcW w:w="1150" w:type="dxa"/>
            <w:hideMark/>
          </w:tcPr>
          <w:p w14:paraId="0EF2492C" w14:textId="77777777" w:rsidR="00107B14" w:rsidRDefault="00107B14" w:rsidP="00CD71A3">
            <w:pPr>
              <w:pStyle w:val="NormalWeb"/>
              <w:jc w:val="center"/>
            </w:pPr>
            <w:r>
              <w:t>970</w:t>
            </w:r>
          </w:p>
        </w:tc>
        <w:tc>
          <w:tcPr>
            <w:tcW w:w="1151" w:type="dxa"/>
            <w:hideMark/>
          </w:tcPr>
          <w:p w14:paraId="7FEDD600" w14:textId="77777777" w:rsidR="00107B14" w:rsidRDefault="00107B14" w:rsidP="00CD71A3">
            <w:pPr>
              <w:pStyle w:val="NormalWeb"/>
              <w:jc w:val="center"/>
            </w:pPr>
            <w:r>
              <w:t>897</w:t>
            </w:r>
          </w:p>
        </w:tc>
        <w:tc>
          <w:tcPr>
            <w:tcW w:w="1151" w:type="dxa"/>
            <w:hideMark/>
          </w:tcPr>
          <w:p w14:paraId="6237C6F8" w14:textId="77777777" w:rsidR="00107B14" w:rsidRDefault="00107B14" w:rsidP="00CD71A3">
            <w:pPr>
              <w:pStyle w:val="NormalWeb"/>
              <w:jc w:val="center"/>
            </w:pPr>
            <w:r>
              <w:t>1884</w:t>
            </w:r>
          </w:p>
        </w:tc>
        <w:tc>
          <w:tcPr>
            <w:tcW w:w="1151" w:type="dxa"/>
            <w:hideMark/>
          </w:tcPr>
          <w:p w14:paraId="10D8F36F" w14:textId="77777777" w:rsidR="00107B14" w:rsidRDefault="00107B14" w:rsidP="00CD71A3">
            <w:pPr>
              <w:pStyle w:val="NormalWeb"/>
              <w:jc w:val="center"/>
            </w:pPr>
            <w:r>
              <w:t>59.3</w:t>
            </w:r>
          </w:p>
        </w:tc>
        <w:tc>
          <w:tcPr>
            <w:tcW w:w="1151" w:type="dxa"/>
            <w:hideMark/>
          </w:tcPr>
          <w:p w14:paraId="6DFFACE8" w14:textId="77777777" w:rsidR="00107B14" w:rsidRDefault="00107B14" w:rsidP="00CD71A3">
            <w:pPr>
              <w:pStyle w:val="NormalWeb"/>
              <w:jc w:val="center"/>
            </w:pPr>
            <w:r>
              <w:t>57.9</w:t>
            </w:r>
          </w:p>
        </w:tc>
        <w:tc>
          <w:tcPr>
            <w:tcW w:w="1151" w:type="dxa"/>
            <w:hideMark/>
          </w:tcPr>
          <w:p w14:paraId="04993A58" w14:textId="77777777" w:rsidR="00107B14" w:rsidRDefault="00107B14" w:rsidP="00CD71A3">
            <w:pPr>
              <w:pStyle w:val="NormalWeb"/>
              <w:jc w:val="center"/>
            </w:pPr>
            <w:r>
              <w:t>59.2</w:t>
            </w:r>
          </w:p>
        </w:tc>
        <w:tc>
          <w:tcPr>
            <w:tcW w:w="1134" w:type="dxa"/>
            <w:hideMark/>
          </w:tcPr>
          <w:p w14:paraId="055FF167" w14:textId="77777777" w:rsidR="00107B14" w:rsidRDefault="00107B14" w:rsidP="00CD71A3">
            <w:pPr>
              <w:pStyle w:val="NormalWeb"/>
              <w:jc w:val="center"/>
            </w:pPr>
            <w:r>
              <w:t>1628</w:t>
            </w:r>
          </w:p>
        </w:tc>
        <w:tc>
          <w:tcPr>
            <w:tcW w:w="1134" w:type="dxa"/>
            <w:hideMark/>
          </w:tcPr>
          <w:p w14:paraId="4CBCAF12" w14:textId="77777777" w:rsidR="00107B14" w:rsidRDefault="00107B14" w:rsidP="00CD71A3">
            <w:pPr>
              <w:pStyle w:val="NormalWeb"/>
              <w:jc w:val="center"/>
            </w:pPr>
            <w:r>
              <w:t>1534</w:t>
            </w:r>
          </w:p>
        </w:tc>
        <w:tc>
          <w:tcPr>
            <w:tcW w:w="1135" w:type="dxa"/>
            <w:hideMark/>
          </w:tcPr>
          <w:p w14:paraId="7D951748" w14:textId="77777777" w:rsidR="00107B14" w:rsidRDefault="00107B14" w:rsidP="00CD71A3">
            <w:pPr>
              <w:pStyle w:val="NormalWeb"/>
              <w:jc w:val="center"/>
            </w:pPr>
            <w:r>
              <w:t>3191</w:t>
            </w:r>
          </w:p>
        </w:tc>
        <w:tc>
          <w:tcPr>
            <w:tcW w:w="1134" w:type="dxa"/>
            <w:hideMark/>
          </w:tcPr>
          <w:p w14:paraId="5BAB2BE0" w14:textId="77777777" w:rsidR="00107B14" w:rsidRDefault="00107B14" w:rsidP="00CD71A3">
            <w:pPr>
              <w:pStyle w:val="NormalWeb"/>
              <w:jc w:val="center"/>
            </w:pPr>
            <w:r>
              <w:t>99.5</w:t>
            </w:r>
          </w:p>
        </w:tc>
        <w:tc>
          <w:tcPr>
            <w:tcW w:w="1134" w:type="dxa"/>
            <w:hideMark/>
          </w:tcPr>
          <w:p w14:paraId="50BF20FE" w14:textId="77777777" w:rsidR="00107B14" w:rsidRDefault="00107B14" w:rsidP="00CD71A3">
            <w:pPr>
              <w:pStyle w:val="NormalWeb"/>
              <w:jc w:val="center"/>
            </w:pPr>
            <w:r>
              <w:t>99.1</w:t>
            </w:r>
          </w:p>
        </w:tc>
        <w:tc>
          <w:tcPr>
            <w:tcW w:w="1135" w:type="dxa"/>
            <w:hideMark/>
          </w:tcPr>
          <w:p w14:paraId="4F618A56" w14:textId="77777777" w:rsidR="00107B14" w:rsidRDefault="00107B14" w:rsidP="00CD71A3">
            <w:pPr>
              <w:pStyle w:val="NormalWeb"/>
              <w:jc w:val="center"/>
            </w:pPr>
            <w:r>
              <w:t>100.2</w:t>
            </w:r>
          </w:p>
        </w:tc>
      </w:tr>
      <w:tr w:rsidR="00107B14" w14:paraId="4448B1B2" w14:textId="77777777" w:rsidTr="003E039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3D7A452" w14:textId="77777777" w:rsidR="00107B14" w:rsidRDefault="00107B14" w:rsidP="00CD71A3">
            <w:pPr>
              <w:pStyle w:val="NormalWeb"/>
            </w:pPr>
            <w:r>
              <w:t>10 to 19</w:t>
            </w:r>
          </w:p>
        </w:tc>
        <w:tc>
          <w:tcPr>
            <w:tcW w:w="1150" w:type="dxa"/>
            <w:hideMark/>
          </w:tcPr>
          <w:p w14:paraId="52C786C6" w14:textId="77777777" w:rsidR="00107B14" w:rsidRDefault="00107B14" w:rsidP="00CD71A3">
            <w:pPr>
              <w:pStyle w:val="NormalWeb"/>
              <w:jc w:val="center"/>
            </w:pPr>
            <w:r>
              <w:t>1125</w:t>
            </w:r>
          </w:p>
        </w:tc>
        <w:tc>
          <w:tcPr>
            <w:tcW w:w="1151" w:type="dxa"/>
            <w:hideMark/>
          </w:tcPr>
          <w:p w14:paraId="4B8A417B" w14:textId="77777777" w:rsidR="00107B14" w:rsidRDefault="00107B14" w:rsidP="00CD71A3">
            <w:pPr>
              <w:pStyle w:val="NormalWeb"/>
              <w:jc w:val="center"/>
            </w:pPr>
            <w:r>
              <w:t>1107</w:t>
            </w:r>
          </w:p>
        </w:tc>
        <w:tc>
          <w:tcPr>
            <w:tcW w:w="1151" w:type="dxa"/>
            <w:hideMark/>
          </w:tcPr>
          <w:p w14:paraId="11FEE693" w14:textId="77777777" w:rsidR="00107B14" w:rsidRDefault="00107B14" w:rsidP="00CD71A3">
            <w:pPr>
              <w:pStyle w:val="NormalWeb"/>
              <w:jc w:val="center"/>
            </w:pPr>
            <w:r>
              <w:t>2240</w:t>
            </w:r>
          </w:p>
        </w:tc>
        <w:tc>
          <w:tcPr>
            <w:tcW w:w="1151" w:type="dxa"/>
            <w:hideMark/>
          </w:tcPr>
          <w:p w14:paraId="7AE0558A" w14:textId="77777777" w:rsidR="00107B14" w:rsidRDefault="00107B14" w:rsidP="00CD71A3">
            <w:pPr>
              <w:pStyle w:val="NormalWeb"/>
              <w:jc w:val="center"/>
            </w:pPr>
            <w:r>
              <w:t>70.9</w:t>
            </w:r>
          </w:p>
        </w:tc>
        <w:tc>
          <w:tcPr>
            <w:tcW w:w="1151" w:type="dxa"/>
            <w:hideMark/>
          </w:tcPr>
          <w:p w14:paraId="0B3E7B8F" w14:textId="77777777" w:rsidR="00107B14" w:rsidRDefault="00107B14" w:rsidP="00CD71A3">
            <w:pPr>
              <w:pStyle w:val="NormalWeb"/>
              <w:jc w:val="center"/>
            </w:pPr>
            <w:r>
              <w:t>73.8</w:t>
            </w:r>
          </w:p>
        </w:tc>
        <w:tc>
          <w:tcPr>
            <w:tcW w:w="1151" w:type="dxa"/>
            <w:hideMark/>
          </w:tcPr>
          <w:p w14:paraId="7716CA21" w14:textId="77777777" w:rsidR="00107B14" w:rsidRDefault="00107B14" w:rsidP="00CD71A3">
            <w:pPr>
              <w:pStyle w:val="NormalWeb"/>
              <w:jc w:val="center"/>
            </w:pPr>
            <w:r>
              <w:t>72.6</w:t>
            </w:r>
          </w:p>
        </w:tc>
        <w:tc>
          <w:tcPr>
            <w:tcW w:w="1134" w:type="dxa"/>
            <w:hideMark/>
          </w:tcPr>
          <w:p w14:paraId="40554222" w14:textId="77777777" w:rsidR="00107B14" w:rsidRDefault="00107B14" w:rsidP="00CD71A3">
            <w:pPr>
              <w:pStyle w:val="NormalWeb"/>
              <w:jc w:val="center"/>
            </w:pPr>
            <w:r>
              <w:t>1979</w:t>
            </w:r>
          </w:p>
        </w:tc>
        <w:tc>
          <w:tcPr>
            <w:tcW w:w="1134" w:type="dxa"/>
            <w:hideMark/>
          </w:tcPr>
          <w:p w14:paraId="21D6ECCB" w14:textId="77777777" w:rsidR="00107B14" w:rsidRDefault="00107B14" w:rsidP="00CD71A3">
            <w:pPr>
              <w:pStyle w:val="NormalWeb"/>
              <w:jc w:val="center"/>
            </w:pPr>
            <w:r>
              <w:t>1940</w:t>
            </w:r>
          </w:p>
        </w:tc>
        <w:tc>
          <w:tcPr>
            <w:tcW w:w="1135" w:type="dxa"/>
            <w:hideMark/>
          </w:tcPr>
          <w:p w14:paraId="4D46E470" w14:textId="77777777" w:rsidR="00107B14" w:rsidRDefault="00107B14" w:rsidP="00CD71A3">
            <w:pPr>
              <w:pStyle w:val="NormalWeb"/>
              <w:jc w:val="center"/>
            </w:pPr>
            <w:r>
              <w:t>3930</w:t>
            </w:r>
          </w:p>
        </w:tc>
        <w:tc>
          <w:tcPr>
            <w:tcW w:w="1134" w:type="dxa"/>
            <w:hideMark/>
          </w:tcPr>
          <w:p w14:paraId="33B67B79" w14:textId="77777777" w:rsidR="00107B14" w:rsidRDefault="00107B14" w:rsidP="00CD71A3">
            <w:pPr>
              <w:pStyle w:val="NormalWeb"/>
              <w:jc w:val="center"/>
            </w:pPr>
            <w:r>
              <w:t>124.8</w:t>
            </w:r>
          </w:p>
        </w:tc>
        <w:tc>
          <w:tcPr>
            <w:tcW w:w="1134" w:type="dxa"/>
            <w:hideMark/>
          </w:tcPr>
          <w:p w14:paraId="7AABA22D" w14:textId="77777777" w:rsidR="00107B14" w:rsidRDefault="00107B14" w:rsidP="00CD71A3">
            <w:pPr>
              <w:pStyle w:val="NormalWeb"/>
              <w:jc w:val="center"/>
            </w:pPr>
            <w:r>
              <w:t>129.3</w:t>
            </w:r>
          </w:p>
        </w:tc>
        <w:tc>
          <w:tcPr>
            <w:tcW w:w="1135" w:type="dxa"/>
            <w:hideMark/>
          </w:tcPr>
          <w:p w14:paraId="257994A8" w14:textId="77777777" w:rsidR="00107B14" w:rsidRDefault="00107B14" w:rsidP="00CD71A3">
            <w:pPr>
              <w:pStyle w:val="NormalWeb"/>
              <w:jc w:val="center"/>
            </w:pPr>
            <w:r>
              <w:t>127.3</w:t>
            </w:r>
          </w:p>
        </w:tc>
      </w:tr>
      <w:tr w:rsidR="00107B14" w14:paraId="737C7F03" w14:textId="77777777" w:rsidTr="003E0394">
        <w:tblPrEx>
          <w:tblCellMar>
            <w:top w:w="57" w:type="dxa"/>
            <w:left w:w="57" w:type="dxa"/>
            <w:bottom w:w="57" w:type="dxa"/>
            <w:right w:w="57" w:type="dxa"/>
          </w:tblCellMar>
        </w:tblPrEx>
        <w:tc>
          <w:tcPr>
            <w:tcW w:w="0" w:type="auto"/>
            <w:hideMark/>
          </w:tcPr>
          <w:p w14:paraId="33D5CA23" w14:textId="77777777" w:rsidR="00107B14" w:rsidRDefault="00107B14" w:rsidP="00CD71A3">
            <w:pPr>
              <w:pStyle w:val="NormalWeb"/>
            </w:pPr>
            <w:r>
              <w:t>20 to 29</w:t>
            </w:r>
          </w:p>
        </w:tc>
        <w:tc>
          <w:tcPr>
            <w:tcW w:w="1150" w:type="dxa"/>
            <w:hideMark/>
          </w:tcPr>
          <w:p w14:paraId="2BB87DB4" w14:textId="77777777" w:rsidR="00107B14" w:rsidRDefault="00107B14" w:rsidP="00CD71A3">
            <w:pPr>
              <w:pStyle w:val="NormalWeb"/>
              <w:jc w:val="center"/>
            </w:pPr>
            <w:r>
              <w:t>1737</w:t>
            </w:r>
          </w:p>
        </w:tc>
        <w:tc>
          <w:tcPr>
            <w:tcW w:w="1151" w:type="dxa"/>
            <w:hideMark/>
          </w:tcPr>
          <w:p w14:paraId="5FBB25D3" w14:textId="77777777" w:rsidR="00107B14" w:rsidRDefault="00107B14" w:rsidP="00CD71A3">
            <w:pPr>
              <w:pStyle w:val="NormalWeb"/>
              <w:jc w:val="center"/>
            </w:pPr>
            <w:r>
              <w:t>1381</w:t>
            </w:r>
          </w:p>
        </w:tc>
        <w:tc>
          <w:tcPr>
            <w:tcW w:w="1151" w:type="dxa"/>
            <w:hideMark/>
          </w:tcPr>
          <w:p w14:paraId="29A6FBC7" w14:textId="77777777" w:rsidR="00107B14" w:rsidRDefault="00107B14" w:rsidP="00CD71A3">
            <w:pPr>
              <w:pStyle w:val="NormalWeb"/>
              <w:jc w:val="center"/>
            </w:pPr>
            <w:r>
              <w:t>3124</w:t>
            </w:r>
          </w:p>
        </w:tc>
        <w:tc>
          <w:tcPr>
            <w:tcW w:w="1151" w:type="dxa"/>
            <w:hideMark/>
          </w:tcPr>
          <w:p w14:paraId="0615B8E5" w14:textId="77777777" w:rsidR="00107B14" w:rsidRDefault="00107B14" w:rsidP="00CD71A3">
            <w:pPr>
              <w:pStyle w:val="NormalWeb"/>
              <w:jc w:val="center"/>
            </w:pPr>
            <w:r>
              <w:t>94.4</w:t>
            </w:r>
          </w:p>
        </w:tc>
        <w:tc>
          <w:tcPr>
            <w:tcW w:w="1151" w:type="dxa"/>
            <w:hideMark/>
          </w:tcPr>
          <w:p w14:paraId="0A62D421" w14:textId="77777777" w:rsidR="00107B14" w:rsidRDefault="00107B14" w:rsidP="00CD71A3">
            <w:pPr>
              <w:pStyle w:val="NormalWeb"/>
              <w:jc w:val="center"/>
            </w:pPr>
            <w:r>
              <w:t>77.7</w:t>
            </w:r>
          </w:p>
        </w:tc>
        <w:tc>
          <w:tcPr>
            <w:tcW w:w="1151" w:type="dxa"/>
            <w:hideMark/>
          </w:tcPr>
          <w:p w14:paraId="0C70AC8A" w14:textId="77777777" w:rsidR="00107B14" w:rsidRDefault="00107B14" w:rsidP="00CD71A3">
            <w:pPr>
              <w:pStyle w:val="NormalWeb"/>
              <w:jc w:val="center"/>
            </w:pPr>
            <w:r>
              <w:t>86.3</w:t>
            </w:r>
          </w:p>
        </w:tc>
        <w:tc>
          <w:tcPr>
            <w:tcW w:w="1134" w:type="dxa"/>
            <w:hideMark/>
          </w:tcPr>
          <w:p w14:paraId="5997E699" w14:textId="77777777" w:rsidR="00107B14" w:rsidRDefault="00107B14" w:rsidP="00CD71A3">
            <w:pPr>
              <w:pStyle w:val="NormalWeb"/>
              <w:jc w:val="center"/>
            </w:pPr>
            <w:r>
              <w:t>2954</w:t>
            </w:r>
          </w:p>
        </w:tc>
        <w:tc>
          <w:tcPr>
            <w:tcW w:w="1134" w:type="dxa"/>
            <w:hideMark/>
          </w:tcPr>
          <w:p w14:paraId="33766BD3" w14:textId="77777777" w:rsidR="00107B14" w:rsidRDefault="00107B14" w:rsidP="00CD71A3">
            <w:pPr>
              <w:pStyle w:val="NormalWeb"/>
              <w:jc w:val="center"/>
            </w:pPr>
            <w:r>
              <w:t>2426</w:t>
            </w:r>
          </w:p>
        </w:tc>
        <w:tc>
          <w:tcPr>
            <w:tcW w:w="1135" w:type="dxa"/>
            <w:hideMark/>
          </w:tcPr>
          <w:p w14:paraId="61135B3C" w14:textId="77777777" w:rsidR="00107B14" w:rsidRDefault="00107B14" w:rsidP="00CD71A3">
            <w:pPr>
              <w:pStyle w:val="NormalWeb"/>
              <w:jc w:val="center"/>
            </w:pPr>
            <w:r>
              <w:t>5389</w:t>
            </w:r>
          </w:p>
        </w:tc>
        <w:tc>
          <w:tcPr>
            <w:tcW w:w="1134" w:type="dxa"/>
            <w:hideMark/>
          </w:tcPr>
          <w:p w14:paraId="3EA007FB" w14:textId="77777777" w:rsidR="00107B14" w:rsidRDefault="00107B14" w:rsidP="00CD71A3">
            <w:pPr>
              <w:pStyle w:val="NormalWeb"/>
              <w:jc w:val="center"/>
            </w:pPr>
            <w:r>
              <w:t>160.5</w:t>
            </w:r>
          </w:p>
        </w:tc>
        <w:tc>
          <w:tcPr>
            <w:tcW w:w="1134" w:type="dxa"/>
            <w:hideMark/>
          </w:tcPr>
          <w:p w14:paraId="1C5EF357" w14:textId="77777777" w:rsidR="00107B14" w:rsidRDefault="00107B14" w:rsidP="00CD71A3">
            <w:pPr>
              <w:pStyle w:val="NormalWeb"/>
              <w:jc w:val="center"/>
            </w:pPr>
            <w:r>
              <w:t>136.4</w:t>
            </w:r>
          </w:p>
        </w:tc>
        <w:tc>
          <w:tcPr>
            <w:tcW w:w="1135" w:type="dxa"/>
            <w:hideMark/>
          </w:tcPr>
          <w:p w14:paraId="01AA0B34" w14:textId="77777777" w:rsidR="00107B14" w:rsidRDefault="00107B14" w:rsidP="00CD71A3">
            <w:pPr>
              <w:pStyle w:val="NormalWeb"/>
              <w:jc w:val="center"/>
            </w:pPr>
            <w:r>
              <w:t>148.9</w:t>
            </w:r>
          </w:p>
        </w:tc>
      </w:tr>
      <w:tr w:rsidR="00107B14" w14:paraId="0F74C5DA" w14:textId="77777777" w:rsidTr="003E039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A218DFB" w14:textId="77777777" w:rsidR="00107B14" w:rsidRDefault="00107B14" w:rsidP="00CD71A3">
            <w:pPr>
              <w:pStyle w:val="NormalWeb"/>
            </w:pPr>
            <w:r>
              <w:t>30 to 39</w:t>
            </w:r>
          </w:p>
        </w:tc>
        <w:tc>
          <w:tcPr>
            <w:tcW w:w="1150" w:type="dxa"/>
            <w:hideMark/>
          </w:tcPr>
          <w:p w14:paraId="445086D0" w14:textId="77777777" w:rsidR="00107B14" w:rsidRDefault="00107B14" w:rsidP="00CD71A3">
            <w:pPr>
              <w:pStyle w:val="NormalWeb"/>
              <w:jc w:val="center"/>
            </w:pPr>
            <w:r>
              <w:t>1276</w:t>
            </w:r>
          </w:p>
        </w:tc>
        <w:tc>
          <w:tcPr>
            <w:tcW w:w="1151" w:type="dxa"/>
            <w:hideMark/>
          </w:tcPr>
          <w:p w14:paraId="6050AEFB" w14:textId="77777777" w:rsidR="00107B14" w:rsidRDefault="00107B14" w:rsidP="00CD71A3">
            <w:pPr>
              <w:pStyle w:val="NormalWeb"/>
              <w:jc w:val="center"/>
            </w:pPr>
            <w:r>
              <w:t>1060</w:t>
            </w:r>
          </w:p>
        </w:tc>
        <w:tc>
          <w:tcPr>
            <w:tcW w:w="1151" w:type="dxa"/>
            <w:hideMark/>
          </w:tcPr>
          <w:p w14:paraId="1255AFB9" w14:textId="77777777" w:rsidR="00107B14" w:rsidRDefault="00107B14" w:rsidP="00CD71A3">
            <w:pPr>
              <w:pStyle w:val="NormalWeb"/>
              <w:jc w:val="center"/>
            </w:pPr>
            <w:r>
              <w:t>2348</w:t>
            </w:r>
          </w:p>
        </w:tc>
        <w:tc>
          <w:tcPr>
            <w:tcW w:w="1151" w:type="dxa"/>
            <w:hideMark/>
          </w:tcPr>
          <w:p w14:paraId="7C430C31" w14:textId="77777777" w:rsidR="00107B14" w:rsidRDefault="00107B14" w:rsidP="00CD71A3">
            <w:pPr>
              <w:pStyle w:val="NormalWeb"/>
              <w:jc w:val="center"/>
            </w:pPr>
            <w:r>
              <w:t>68.7</w:t>
            </w:r>
          </w:p>
        </w:tc>
        <w:tc>
          <w:tcPr>
            <w:tcW w:w="1151" w:type="dxa"/>
            <w:hideMark/>
          </w:tcPr>
          <w:p w14:paraId="3337B8A6" w14:textId="77777777" w:rsidR="00107B14" w:rsidRDefault="00107B14" w:rsidP="00CD71A3">
            <w:pPr>
              <w:pStyle w:val="NormalWeb"/>
              <w:jc w:val="center"/>
            </w:pPr>
            <w:r>
              <w:t>55.8</w:t>
            </w:r>
          </w:p>
        </w:tc>
        <w:tc>
          <w:tcPr>
            <w:tcW w:w="1151" w:type="dxa"/>
            <w:hideMark/>
          </w:tcPr>
          <w:p w14:paraId="7BB39417" w14:textId="77777777" w:rsidR="00107B14" w:rsidRDefault="00107B14" w:rsidP="00CD71A3">
            <w:pPr>
              <w:pStyle w:val="NormalWeb"/>
              <w:jc w:val="center"/>
            </w:pPr>
            <w:r>
              <w:t>62.5</w:t>
            </w:r>
          </w:p>
        </w:tc>
        <w:tc>
          <w:tcPr>
            <w:tcW w:w="1134" w:type="dxa"/>
            <w:hideMark/>
          </w:tcPr>
          <w:p w14:paraId="334523C0" w14:textId="77777777" w:rsidR="00107B14" w:rsidRDefault="00107B14" w:rsidP="00CD71A3">
            <w:pPr>
              <w:pStyle w:val="NormalWeb"/>
              <w:jc w:val="center"/>
            </w:pPr>
            <w:r>
              <w:t>2323</w:t>
            </w:r>
          </w:p>
        </w:tc>
        <w:tc>
          <w:tcPr>
            <w:tcW w:w="1134" w:type="dxa"/>
            <w:hideMark/>
          </w:tcPr>
          <w:p w14:paraId="7E795E14" w14:textId="77777777" w:rsidR="00107B14" w:rsidRDefault="00107B14" w:rsidP="00CD71A3">
            <w:pPr>
              <w:pStyle w:val="NormalWeb"/>
              <w:jc w:val="center"/>
            </w:pPr>
            <w:r>
              <w:t>1952</w:t>
            </w:r>
          </w:p>
        </w:tc>
        <w:tc>
          <w:tcPr>
            <w:tcW w:w="1135" w:type="dxa"/>
            <w:hideMark/>
          </w:tcPr>
          <w:p w14:paraId="111B2399" w14:textId="77777777" w:rsidR="00107B14" w:rsidRDefault="00107B14" w:rsidP="00CD71A3">
            <w:pPr>
              <w:pStyle w:val="NormalWeb"/>
              <w:jc w:val="center"/>
            </w:pPr>
            <w:r>
              <w:t>4292</w:t>
            </w:r>
          </w:p>
        </w:tc>
        <w:tc>
          <w:tcPr>
            <w:tcW w:w="1134" w:type="dxa"/>
            <w:hideMark/>
          </w:tcPr>
          <w:p w14:paraId="593161A6" w14:textId="77777777" w:rsidR="00107B14" w:rsidRDefault="00107B14" w:rsidP="00CD71A3">
            <w:pPr>
              <w:pStyle w:val="NormalWeb"/>
              <w:jc w:val="center"/>
            </w:pPr>
            <w:r>
              <w:t>125.1</w:t>
            </w:r>
          </w:p>
        </w:tc>
        <w:tc>
          <w:tcPr>
            <w:tcW w:w="1134" w:type="dxa"/>
            <w:hideMark/>
          </w:tcPr>
          <w:p w14:paraId="567BF891" w14:textId="77777777" w:rsidR="00107B14" w:rsidRDefault="00107B14" w:rsidP="00CD71A3">
            <w:pPr>
              <w:pStyle w:val="NormalWeb"/>
              <w:jc w:val="center"/>
            </w:pPr>
            <w:r>
              <w:t>102.7</w:t>
            </w:r>
          </w:p>
        </w:tc>
        <w:tc>
          <w:tcPr>
            <w:tcW w:w="1135" w:type="dxa"/>
            <w:hideMark/>
          </w:tcPr>
          <w:p w14:paraId="6CFBB5A7" w14:textId="77777777" w:rsidR="00107B14" w:rsidRDefault="00107B14" w:rsidP="00CD71A3">
            <w:pPr>
              <w:pStyle w:val="NormalWeb"/>
              <w:jc w:val="center"/>
            </w:pPr>
            <w:r>
              <w:t>114.2</w:t>
            </w:r>
          </w:p>
        </w:tc>
      </w:tr>
      <w:tr w:rsidR="00107B14" w14:paraId="1905ADCD" w14:textId="77777777" w:rsidTr="003E0394">
        <w:tblPrEx>
          <w:tblCellMar>
            <w:top w:w="57" w:type="dxa"/>
            <w:left w:w="57" w:type="dxa"/>
            <w:bottom w:w="57" w:type="dxa"/>
            <w:right w:w="57" w:type="dxa"/>
          </w:tblCellMar>
        </w:tblPrEx>
        <w:tc>
          <w:tcPr>
            <w:tcW w:w="0" w:type="auto"/>
            <w:hideMark/>
          </w:tcPr>
          <w:p w14:paraId="0DD6EB2E" w14:textId="77777777" w:rsidR="00107B14" w:rsidRDefault="00107B14" w:rsidP="00CD71A3">
            <w:pPr>
              <w:pStyle w:val="NormalWeb"/>
            </w:pPr>
            <w:r>
              <w:t>40 to 49</w:t>
            </w:r>
          </w:p>
        </w:tc>
        <w:tc>
          <w:tcPr>
            <w:tcW w:w="1150" w:type="dxa"/>
            <w:hideMark/>
          </w:tcPr>
          <w:p w14:paraId="0908F2EB" w14:textId="77777777" w:rsidR="00107B14" w:rsidRDefault="00107B14" w:rsidP="00CD71A3">
            <w:pPr>
              <w:pStyle w:val="NormalWeb"/>
              <w:jc w:val="center"/>
            </w:pPr>
            <w:r>
              <w:t>827</w:t>
            </w:r>
          </w:p>
        </w:tc>
        <w:tc>
          <w:tcPr>
            <w:tcW w:w="1151" w:type="dxa"/>
            <w:hideMark/>
          </w:tcPr>
          <w:p w14:paraId="375BE57B" w14:textId="77777777" w:rsidR="00107B14" w:rsidRDefault="00107B14" w:rsidP="00CD71A3">
            <w:pPr>
              <w:pStyle w:val="NormalWeb"/>
              <w:jc w:val="center"/>
            </w:pPr>
            <w:r>
              <w:t>723</w:t>
            </w:r>
          </w:p>
        </w:tc>
        <w:tc>
          <w:tcPr>
            <w:tcW w:w="1151" w:type="dxa"/>
            <w:hideMark/>
          </w:tcPr>
          <w:p w14:paraId="5B7F7DCB" w14:textId="77777777" w:rsidR="00107B14" w:rsidRDefault="00107B14" w:rsidP="00CD71A3">
            <w:pPr>
              <w:pStyle w:val="NormalWeb"/>
              <w:jc w:val="center"/>
            </w:pPr>
            <w:r>
              <w:t>1554</w:t>
            </w:r>
          </w:p>
        </w:tc>
        <w:tc>
          <w:tcPr>
            <w:tcW w:w="1151" w:type="dxa"/>
            <w:hideMark/>
          </w:tcPr>
          <w:p w14:paraId="4509B3FB" w14:textId="77777777" w:rsidR="00107B14" w:rsidRDefault="00107B14" w:rsidP="00CD71A3">
            <w:pPr>
              <w:pStyle w:val="NormalWeb"/>
              <w:jc w:val="center"/>
            </w:pPr>
            <w:r>
              <w:t>50.7</w:t>
            </w:r>
          </w:p>
        </w:tc>
        <w:tc>
          <w:tcPr>
            <w:tcW w:w="1151" w:type="dxa"/>
            <w:hideMark/>
          </w:tcPr>
          <w:p w14:paraId="204A78DB" w14:textId="77777777" w:rsidR="00107B14" w:rsidRDefault="00107B14" w:rsidP="00CD71A3">
            <w:pPr>
              <w:pStyle w:val="NormalWeb"/>
              <w:jc w:val="center"/>
            </w:pPr>
            <w:r>
              <w:t>43.4</w:t>
            </w:r>
          </w:p>
        </w:tc>
        <w:tc>
          <w:tcPr>
            <w:tcW w:w="1151" w:type="dxa"/>
            <w:hideMark/>
          </w:tcPr>
          <w:p w14:paraId="640B26C6" w14:textId="77777777" w:rsidR="00107B14" w:rsidRDefault="00107B14" w:rsidP="00CD71A3">
            <w:pPr>
              <w:pStyle w:val="NormalWeb"/>
              <w:jc w:val="center"/>
            </w:pPr>
            <w:r>
              <w:t>47.1</w:t>
            </w:r>
          </w:p>
        </w:tc>
        <w:tc>
          <w:tcPr>
            <w:tcW w:w="1134" w:type="dxa"/>
            <w:hideMark/>
          </w:tcPr>
          <w:p w14:paraId="1ADB6322" w14:textId="77777777" w:rsidR="00107B14" w:rsidRDefault="00107B14" w:rsidP="00CD71A3">
            <w:pPr>
              <w:pStyle w:val="NormalWeb"/>
              <w:jc w:val="center"/>
            </w:pPr>
            <w:r>
              <w:t>1533</w:t>
            </w:r>
          </w:p>
        </w:tc>
        <w:tc>
          <w:tcPr>
            <w:tcW w:w="1134" w:type="dxa"/>
            <w:hideMark/>
          </w:tcPr>
          <w:p w14:paraId="6D76C3B9" w14:textId="77777777" w:rsidR="00107B14" w:rsidRDefault="00107B14" w:rsidP="00CD71A3">
            <w:pPr>
              <w:pStyle w:val="NormalWeb"/>
              <w:jc w:val="center"/>
            </w:pPr>
            <w:r>
              <w:t>1344</w:t>
            </w:r>
          </w:p>
        </w:tc>
        <w:tc>
          <w:tcPr>
            <w:tcW w:w="1135" w:type="dxa"/>
            <w:hideMark/>
          </w:tcPr>
          <w:p w14:paraId="003F8F24" w14:textId="77777777" w:rsidR="00107B14" w:rsidRDefault="00107B14" w:rsidP="00CD71A3">
            <w:pPr>
              <w:pStyle w:val="NormalWeb"/>
              <w:jc w:val="center"/>
            </w:pPr>
            <w:r>
              <w:t>2884</w:t>
            </w:r>
          </w:p>
        </w:tc>
        <w:tc>
          <w:tcPr>
            <w:tcW w:w="1134" w:type="dxa"/>
            <w:hideMark/>
          </w:tcPr>
          <w:p w14:paraId="2163002B" w14:textId="77777777" w:rsidR="00107B14" w:rsidRDefault="00107B14" w:rsidP="00CD71A3">
            <w:pPr>
              <w:pStyle w:val="NormalWeb"/>
              <w:jc w:val="center"/>
            </w:pPr>
            <w:r>
              <w:t>94.0</w:t>
            </w:r>
          </w:p>
        </w:tc>
        <w:tc>
          <w:tcPr>
            <w:tcW w:w="1134" w:type="dxa"/>
            <w:hideMark/>
          </w:tcPr>
          <w:p w14:paraId="6E0A2BEA" w14:textId="77777777" w:rsidR="00107B14" w:rsidRDefault="00107B14" w:rsidP="00CD71A3">
            <w:pPr>
              <w:pStyle w:val="NormalWeb"/>
              <w:jc w:val="center"/>
            </w:pPr>
            <w:r>
              <w:t>80.7</w:t>
            </w:r>
          </w:p>
        </w:tc>
        <w:tc>
          <w:tcPr>
            <w:tcW w:w="1135" w:type="dxa"/>
            <w:hideMark/>
          </w:tcPr>
          <w:p w14:paraId="1743A460" w14:textId="77777777" w:rsidR="00107B14" w:rsidRDefault="00107B14" w:rsidP="00CD71A3">
            <w:pPr>
              <w:pStyle w:val="NormalWeb"/>
              <w:jc w:val="center"/>
            </w:pPr>
            <w:r>
              <w:t>87.5</w:t>
            </w:r>
          </w:p>
        </w:tc>
      </w:tr>
      <w:tr w:rsidR="00107B14" w14:paraId="0718DCC0" w14:textId="77777777" w:rsidTr="003E039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09E94A6C" w14:textId="77777777" w:rsidR="00107B14" w:rsidRDefault="00107B14" w:rsidP="00CD71A3">
            <w:pPr>
              <w:pStyle w:val="NormalWeb"/>
            </w:pPr>
            <w:r>
              <w:t>50 to 59</w:t>
            </w:r>
          </w:p>
        </w:tc>
        <w:tc>
          <w:tcPr>
            <w:tcW w:w="1150" w:type="dxa"/>
            <w:hideMark/>
          </w:tcPr>
          <w:p w14:paraId="55D8C682" w14:textId="77777777" w:rsidR="00107B14" w:rsidRDefault="00107B14" w:rsidP="00CD71A3">
            <w:pPr>
              <w:pStyle w:val="NormalWeb"/>
              <w:jc w:val="center"/>
            </w:pPr>
            <w:r>
              <w:t>615</w:t>
            </w:r>
          </w:p>
        </w:tc>
        <w:tc>
          <w:tcPr>
            <w:tcW w:w="1151" w:type="dxa"/>
            <w:hideMark/>
          </w:tcPr>
          <w:p w14:paraId="784448AF" w14:textId="77777777" w:rsidR="00107B14" w:rsidRDefault="00107B14" w:rsidP="00CD71A3">
            <w:pPr>
              <w:pStyle w:val="NormalWeb"/>
              <w:jc w:val="center"/>
            </w:pPr>
            <w:r>
              <w:t>541</w:t>
            </w:r>
          </w:p>
        </w:tc>
        <w:tc>
          <w:tcPr>
            <w:tcW w:w="1151" w:type="dxa"/>
            <w:hideMark/>
          </w:tcPr>
          <w:p w14:paraId="6EA54B25" w14:textId="77777777" w:rsidR="00107B14" w:rsidRDefault="00107B14" w:rsidP="00CD71A3">
            <w:pPr>
              <w:pStyle w:val="NormalWeb"/>
              <w:jc w:val="center"/>
            </w:pPr>
            <w:r>
              <w:t>1160</w:t>
            </w:r>
          </w:p>
        </w:tc>
        <w:tc>
          <w:tcPr>
            <w:tcW w:w="1151" w:type="dxa"/>
            <w:hideMark/>
          </w:tcPr>
          <w:p w14:paraId="5640C818" w14:textId="77777777" w:rsidR="00107B14" w:rsidRDefault="00107B14" w:rsidP="00CD71A3">
            <w:pPr>
              <w:pStyle w:val="NormalWeb"/>
              <w:jc w:val="center"/>
            </w:pPr>
            <w:r>
              <w:t>40.4</w:t>
            </w:r>
          </w:p>
        </w:tc>
        <w:tc>
          <w:tcPr>
            <w:tcW w:w="1151" w:type="dxa"/>
            <w:hideMark/>
          </w:tcPr>
          <w:p w14:paraId="0E493217" w14:textId="77777777" w:rsidR="00107B14" w:rsidRDefault="00107B14" w:rsidP="00CD71A3">
            <w:pPr>
              <w:pStyle w:val="NormalWeb"/>
              <w:jc w:val="center"/>
            </w:pPr>
            <w:r>
              <w:t>33.9</w:t>
            </w:r>
          </w:p>
        </w:tc>
        <w:tc>
          <w:tcPr>
            <w:tcW w:w="1151" w:type="dxa"/>
            <w:hideMark/>
          </w:tcPr>
          <w:p w14:paraId="29134904" w14:textId="77777777" w:rsidR="00107B14" w:rsidRDefault="00107B14" w:rsidP="00CD71A3">
            <w:pPr>
              <w:pStyle w:val="NormalWeb"/>
              <w:jc w:val="center"/>
            </w:pPr>
            <w:r>
              <w:t>37.2</w:t>
            </w:r>
          </w:p>
        </w:tc>
        <w:tc>
          <w:tcPr>
            <w:tcW w:w="1134" w:type="dxa"/>
            <w:hideMark/>
          </w:tcPr>
          <w:p w14:paraId="63E4DBD1" w14:textId="77777777" w:rsidR="00107B14" w:rsidRDefault="00107B14" w:rsidP="00CD71A3">
            <w:pPr>
              <w:pStyle w:val="NormalWeb"/>
              <w:jc w:val="center"/>
            </w:pPr>
            <w:r>
              <w:t>1237</w:t>
            </w:r>
          </w:p>
        </w:tc>
        <w:tc>
          <w:tcPr>
            <w:tcW w:w="1134" w:type="dxa"/>
            <w:hideMark/>
          </w:tcPr>
          <w:p w14:paraId="5DD1D80F" w14:textId="77777777" w:rsidR="00107B14" w:rsidRDefault="00107B14" w:rsidP="00CD71A3">
            <w:pPr>
              <w:pStyle w:val="NormalWeb"/>
              <w:jc w:val="center"/>
            </w:pPr>
            <w:r>
              <w:t>1036</w:t>
            </w:r>
          </w:p>
        </w:tc>
        <w:tc>
          <w:tcPr>
            <w:tcW w:w="1135" w:type="dxa"/>
            <w:hideMark/>
          </w:tcPr>
          <w:p w14:paraId="565AB04F" w14:textId="77777777" w:rsidR="00107B14" w:rsidRDefault="00107B14" w:rsidP="00CD71A3">
            <w:pPr>
              <w:pStyle w:val="NormalWeb"/>
              <w:jc w:val="center"/>
            </w:pPr>
            <w:r>
              <w:t>2281</w:t>
            </w:r>
          </w:p>
        </w:tc>
        <w:tc>
          <w:tcPr>
            <w:tcW w:w="1134" w:type="dxa"/>
            <w:hideMark/>
          </w:tcPr>
          <w:p w14:paraId="702AA003" w14:textId="77777777" w:rsidR="00107B14" w:rsidRDefault="00107B14" w:rsidP="00CD71A3">
            <w:pPr>
              <w:pStyle w:val="NormalWeb"/>
              <w:jc w:val="center"/>
            </w:pPr>
            <w:r>
              <w:t>81.2</w:t>
            </w:r>
          </w:p>
        </w:tc>
        <w:tc>
          <w:tcPr>
            <w:tcW w:w="1134" w:type="dxa"/>
            <w:hideMark/>
          </w:tcPr>
          <w:p w14:paraId="2E4980B6" w14:textId="77777777" w:rsidR="00107B14" w:rsidRDefault="00107B14" w:rsidP="00CD71A3">
            <w:pPr>
              <w:pStyle w:val="NormalWeb"/>
              <w:jc w:val="center"/>
            </w:pPr>
            <w:r>
              <w:t>64.8</w:t>
            </w:r>
          </w:p>
        </w:tc>
        <w:tc>
          <w:tcPr>
            <w:tcW w:w="1135" w:type="dxa"/>
            <w:hideMark/>
          </w:tcPr>
          <w:p w14:paraId="54DB9611" w14:textId="77777777" w:rsidR="00107B14" w:rsidRDefault="00107B14" w:rsidP="00CD71A3">
            <w:pPr>
              <w:pStyle w:val="NormalWeb"/>
              <w:jc w:val="center"/>
            </w:pPr>
            <w:r>
              <w:t>73.1</w:t>
            </w:r>
          </w:p>
        </w:tc>
      </w:tr>
      <w:tr w:rsidR="00107B14" w14:paraId="217ECF5F" w14:textId="77777777" w:rsidTr="003E0394">
        <w:tblPrEx>
          <w:tblCellMar>
            <w:top w:w="57" w:type="dxa"/>
            <w:left w:w="57" w:type="dxa"/>
            <w:bottom w:w="57" w:type="dxa"/>
            <w:right w:w="57" w:type="dxa"/>
          </w:tblCellMar>
        </w:tblPrEx>
        <w:tc>
          <w:tcPr>
            <w:tcW w:w="0" w:type="auto"/>
            <w:hideMark/>
          </w:tcPr>
          <w:p w14:paraId="5FD96BAB" w14:textId="77777777" w:rsidR="00107B14" w:rsidRDefault="00107B14" w:rsidP="00CD71A3">
            <w:pPr>
              <w:pStyle w:val="NormalWeb"/>
            </w:pPr>
            <w:r>
              <w:t>60 to 69</w:t>
            </w:r>
          </w:p>
        </w:tc>
        <w:tc>
          <w:tcPr>
            <w:tcW w:w="1150" w:type="dxa"/>
            <w:hideMark/>
          </w:tcPr>
          <w:p w14:paraId="3304689F" w14:textId="77777777" w:rsidR="00107B14" w:rsidRDefault="00107B14" w:rsidP="00CD71A3">
            <w:pPr>
              <w:pStyle w:val="NormalWeb"/>
              <w:jc w:val="center"/>
            </w:pPr>
            <w:r>
              <w:t>297</w:t>
            </w:r>
          </w:p>
        </w:tc>
        <w:tc>
          <w:tcPr>
            <w:tcW w:w="1151" w:type="dxa"/>
            <w:hideMark/>
          </w:tcPr>
          <w:p w14:paraId="4B2E6C02" w14:textId="77777777" w:rsidR="00107B14" w:rsidRDefault="00107B14" w:rsidP="00CD71A3">
            <w:pPr>
              <w:pStyle w:val="NormalWeb"/>
              <w:jc w:val="center"/>
            </w:pPr>
            <w:r>
              <w:t>257</w:t>
            </w:r>
          </w:p>
        </w:tc>
        <w:tc>
          <w:tcPr>
            <w:tcW w:w="1151" w:type="dxa"/>
            <w:hideMark/>
          </w:tcPr>
          <w:p w14:paraId="4EF2772C" w14:textId="77777777" w:rsidR="00107B14" w:rsidRDefault="00107B14" w:rsidP="00CD71A3">
            <w:pPr>
              <w:pStyle w:val="NormalWeb"/>
              <w:jc w:val="center"/>
            </w:pPr>
            <w:r>
              <w:t>557</w:t>
            </w:r>
          </w:p>
        </w:tc>
        <w:tc>
          <w:tcPr>
            <w:tcW w:w="1151" w:type="dxa"/>
            <w:hideMark/>
          </w:tcPr>
          <w:p w14:paraId="46D2A2C8" w14:textId="77777777" w:rsidR="00107B14" w:rsidRDefault="00107B14" w:rsidP="00CD71A3">
            <w:pPr>
              <w:pStyle w:val="NormalWeb"/>
              <w:jc w:val="center"/>
            </w:pPr>
            <w:r>
              <w:t>22.7</w:t>
            </w:r>
          </w:p>
        </w:tc>
        <w:tc>
          <w:tcPr>
            <w:tcW w:w="1151" w:type="dxa"/>
            <w:hideMark/>
          </w:tcPr>
          <w:p w14:paraId="19BBBDA8" w14:textId="77777777" w:rsidR="00107B14" w:rsidRDefault="00107B14" w:rsidP="00CD71A3">
            <w:pPr>
              <w:pStyle w:val="NormalWeb"/>
              <w:jc w:val="center"/>
            </w:pPr>
            <w:r>
              <w:t>18.5</w:t>
            </w:r>
          </w:p>
        </w:tc>
        <w:tc>
          <w:tcPr>
            <w:tcW w:w="1151" w:type="dxa"/>
            <w:hideMark/>
          </w:tcPr>
          <w:p w14:paraId="52679831" w14:textId="77777777" w:rsidR="00107B14" w:rsidRDefault="00107B14" w:rsidP="00CD71A3">
            <w:pPr>
              <w:pStyle w:val="NormalWeb"/>
              <w:jc w:val="center"/>
            </w:pPr>
            <w:r>
              <w:t>20.7</w:t>
            </w:r>
          </w:p>
        </w:tc>
        <w:tc>
          <w:tcPr>
            <w:tcW w:w="1134" w:type="dxa"/>
            <w:hideMark/>
          </w:tcPr>
          <w:p w14:paraId="6B46788C" w14:textId="77777777" w:rsidR="00107B14" w:rsidRDefault="00107B14" w:rsidP="00CD71A3">
            <w:pPr>
              <w:pStyle w:val="NormalWeb"/>
              <w:jc w:val="center"/>
            </w:pPr>
            <w:r>
              <w:t>633</w:t>
            </w:r>
          </w:p>
        </w:tc>
        <w:tc>
          <w:tcPr>
            <w:tcW w:w="1134" w:type="dxa"/>
            <w:hideMark/>
          </w:tcPr>
          <w:p w14:paraId="098B9085" w14:textId="77777777" w:rsidR="00107B14" w:rsidRDefault="00107B14" w:rsidP="00CD71A3">
            <w:pPr>
              <w:pStyle w:val="NormalWeb"/>
              <w:jc w:val="center"/>
            </w:pPr>
            <w:r>
              <w:t>496</w:t>
            </w:r>
          </w:p>
        </w:tc>
        <w:tc>
          <w:tcPr>
            <w:tcW w:w="1135" w:type="dxa"/>
            <w:hideMark/>
          </w:tcPr>
          <w:p w14:paraId="4A33E2F5" w14:textId="77777777" w:rsidR="00107B14" w:rsidRDefault="00107B14" w:rsidP="00CD71A3">
            <w:pPr>
              <w:pStyle w:val="NormalWeb"/>
              <w:jc w:val="center"/>
            </w:pPr>
            <w:r>
              <w:t>1133</w:t>
            </w:r>
          </w:p>
        </w:tc>
        <w:tc>
          <w:tcPr>
            <w:tcW w:w="1134" w:type="dxa"/>
            <w:hideMark/>
          </w:tcPr>
          <w:p w14:paraId="4396A406" w14:textId="77777777" w:rsidR="00107B14" w:rsidRDefault="00107B14" w:rsidP="00CD71A3">
            <w:pPr>
              <w:pStyle w:val="NormalWeb"/>
              <w:jc w:val="center"/>
            </w:pPr>
            <w:r>
              <w:t>48.4</w:t>
            </w:r>
          </w:p>
        </w:tc>
        <w:tc>
          <w:tcPr>
            <w:tcW w:w="1134" w:type="dxa"/>
            <w:hideMark/>
          </w:tcPr>
          <w:p w14:paraId="051F5DEA" w14:textId="77777777" w:rsidR="00107B14" w:rsidRDefault="00107B14" w:rsidP="00CD71A3">
            <w:pPr>
              <w:pStyle w:val="NormalWeb"/>
              <w:jc w:val="center"/>
            </w:pPr>
            <w:r>
              <w:t>35.7</w:t>
            </w:r>
          </w:p>
        </w:tc>
        <w:tc>
          <w:tcPr>
            <w:tcW w:w="1135" w:type="dxa"/>
            <w:hideMark/>
          </w:tcPr>
          <w:p w14:paraId="1F62846B" w14:textId="77777777" w:rsidR="00107B14" w:rsidRDefault="00107B14" w:rsidP="00CD71A3">
            <w:pPr>
              <w:pStyle w:val="NormalWeb"/>
              <w:jc w:val="center"/>
            </w:pPr>
            <w:r>
              <w:t>42.0</w:t>
            </w:r>
          </w:p>
        </w:tc>
      </w:tr>
      <w:tr w:rsidR="00107B14" w14:paraId="0FD1EFD7" w14:textId="77777777" w:rsidTr="003E039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8E62277" w14:textId="77777777" w:rsidR="00107B14" w:rsidRDefault="00107B14" w:rsidP="00CD71A3">
            <w:pPr>
              <w:pStyle w:val="NormalWeb"/>
            </w:pPr>
            <w:r>
              <w:t>70 to 79</w:t>
            </w:r>
          </w:p>
        </w:tc>
        <w:tc>
          <w:tcPr>
            <w:tcW w:w="1150" w:type="dxa"/>
            <w:hideMark/>
          </w:tcPr>
          <w:p w14:paraId="4FC4F67D" w14:textId="77777777" w:rsidR="00107B14" w:rsidRDefault="00107B14" w:rsidP="00CD71A3">
            <w:pPr>
              <w:pStyle w:val="NormalWeb"/>
              <w:jc w:val="center"/>
            </w:pPr>
            <w:r>
              <w:t>146</w:t>
            </w:r>
          </w:p>
        </w:tc>
        <w:tc>
          <w:tcPr>
            <w:tcW w:w="1151" w:type="dxa"/>
            <w:hideMark/>
          </w:tcPr>
          <w:p w14:paraId="5230E948" w14:textId="77777777" w:rsidR="00107B14" w:rsidRDefault="00107B14" w:rsidP="00CD71A3">
            <w:pPr>
              <w:pStyle w:val="NormalWeb"/>
              <w:jc w:val="center"/>
            </w:pPr>
            <w:r>
              <w:t>93</w:t>
            </w:r>
          </w:p>
        </w:tc>
        <w:tc>
          <w:tcPr>
            <w:tcW w:w="1151" w:type="dxa"/>
            <w:hideMark/>
          </w:tcPr>
          <w:p w14:paraId="3972611F" w14:textId="77777777" w:rsidR="00107B14" w:rsidRDefault="00107B14" w:rsidP="00CD71A3">
            <w:pPr>
              <w:pStyle w:val="NormalWeb"/>
              <w:jc w:val="center"/>
            </w:pPr>
            <w:r>
              <w:t>241</w:t>
            </w:r>
          </w:p>
        </w:tc>
        <w:tc>
          <w:tcPr>
            <w:tcW w:w="1151" w:type="dxa"/>
            <w:hideMark/>
          </w:tcPr>
          <w:p w14:paraId="7404C6AA" w14:textId="77777777" w:rsidR="00107B14" w:rsidRDefault="00107B14" w:rsidP="00CD71A3">
            <w:pPr>
              <w:pStyle w:val="NormalWeb"/>
              <w:jc w:val="center"/>
            </w:pPr>
            <w:r>
              <w:t>16.0</w:t>
            </w:r>
          </w:p>
        </w:tc>
        <w:tc>
          <w:tcPr>
            <w:tcW w:w="1151" w:type="dxa"/>
            <w:hideMark/>
          </w:tcPr>
          <w:p w14:paraId="764650E1" w14:textId="77777777" w:rsidR="00107B14" w:rsidRDefault="00107B14" w:rsidP="00CD71A3">
            <w:pPr>
              <w:pStyle w:val="NormalWeb"/>
              <w:jc w:val="center"/>
            </w:pPr>
            <w:r>
              <w:t>9.6</w:t>
            </w:r>
          </w:p>
        </w:tc>
        <w:tc>
          <w:tcPr>
            <w:tcW w:w="1151" w:type="dxa"/>
            <w:hideMark/>
          </w:tcPr>
          <w:p w14:paraId="0299C1F3" w14:textId="77777777" w:rsidR="00107B14" w:rsidRDefault="00107B14" w:rsidP="00CD71A3">
            <w:pPr>
              <w:pStyle w:val="NormalWeb"/>
              <w:jc w:val="center"/>
            </w:pPr>
            <w:r>
              <w:t>12.8</w:t>
            </w:r>
          </w:p>
        </w:tc>
        <w:tc>
          <w:tcPr>
            <w:tcW w:w="1134" w:type="dxa"/>
            <w:hideMark/>
          </w:tcPr>
          <w:p w14:paraId="5FB244A4" w14:textId="77777777" w:rsidR="00107B14" w:rsidRDefault="00107B14" w:rsidP="00CD71A3">
            <w:pPr>
              <w:pStyle w:val="NormalWeb"/>
              <w:jc w:val="center"/>
            </w:pPr>
            <w:r>
              <w:t>283</w:t>
            </w:r>
          </w:p>
        </w:tc>
        <w:tc>
          <w:tcPr>
            <w:tcW w:w="1134" w:type="dxa"/>
            <w:hideMark/>
          </w:tcPr>
          <w:p w14:paraId="55003EB7" w14:textId="77777777" w:rsidR="00107B14" w:rsidRDefault="00107B14" w:rsidP="00CD71A3">
            <w:pPr>
              <w:pStyle w:val="NormalWeb"/>
              <w:jc w:val="center"/>
            </w:pPr>
            <w:r>
              <w:t>211</w:t>
            </w:r>
          </w:p>
        </w:tc>
        <w:tc>
          <w:tcPr>
            <w:tcW w:w="1135" w:type="dxa"/>
            <w:hideMark/>
          </w:tcPr>
          <w:p w14:paraId="0572DBFC" w14:textId="77777777" w:rsidR="00107B14" w:rsidRDefault="00107B14" w:rsidP="00CD71A3">
            <w:pPr>
              <w:pStyle w:val="NormalWeb"/>
              <w:jc w:val="center"/>
            </w:pPr>
            <w:r>
              <w:t>497</w:t>
            </w:r>
          </w:p>
        </w:tc>
        <w:tc>
          <w:tcPr>
            <w:tcW w:w="1134" w:type="dxa"/>
            <w:hideMark/>
          </w:tcPr>
          <w:p w14:paraId="226DFC6F" w14:textId="77777777" w:rsidR="00107B14" w:rsidRDefault="00107B14" w:rsidP="00CD71A3">
            <w:pPr>
              <w:pStyle w:val="NormalWeb"/>
              <w:jc w:val="center"/>
            </w:pPr>
            <w:r>
              <w:t>31.0</w:t>
            </w:r>
          </w:p>
        </w:tc>
        <w:tc>
          <w:tcPr>
            <w:tcW w:w="1134" w:type="dxa"/>
            <w:hideMark/>
          </w:tcPr>
          <w:p w14:paraId="7079F667" w14:textId="77777777" w:rsidR="00107B14" w:rsidRDefault="00107B14" w:rsidP="00CD71A3">
            <w:pPr>
              <w:pStyle w:val="NormalWeb"/>
              <w:jc w:val="center"/>
            </w:pPr>
            <w:r>
              <w:t>21.8</w:t>
            </w:r>
          </w:p>
        </w:tc>
        <w:tc>
          <w:tcPr>
            <w:tcW w:w="1135" w:type="dxa"/>
            <w:hideMark/>
          </w:tcPr>
          <w:p w14:paraId="11EEC395" w14:textId="77777777" w:rsidR="00107B14" w:rsidRDefault="00107B14" w:rsidP="00CD71A3">
            <w:pPr>
              <w:pStyle w:val="NormalWeb"/>
              <w:jc w:val="center"/>
            </w:pPr>
            <w:r>
              <w:t>26.4</w:t>
            </w:r>
          </w:p>
        </w:tc>
      </w:tr>
      <w:tr w:rsidR="00107B14" w14:paraId="0940C094" w14:textId="77777777" w:rsidTr="003E0394">
        <w:tblPrEx>
          <w:tblCellMar>
            <w:top w:w="57" w:type="dxa"/>
            <w:left w:w="57" w:type="dxa"/>
            <w:bottom w:w="57" w:type="dxa"/>
            <w:right w:w="57" w:type="dxa"/>
          </w:tblCellMar>
        </w:tblPrEx>
        <w:tc>
          <w:tcPr>
            <w:tcW w:w="0" w:type="auto"/>
            <w:hideMark/>
          </w:tcPr>
          <w:p w14:paraId="03EAD43D" w14:textId="77777777" w:rsidR="00107B14" w:rsidRDefault="00107B14" w:rsidP="00CD71A3">
            <w:pPr>
              <w:pStyle w:val="NormalWeb"/>
            </w:pPr>
            <w:r>
              <w:t>80 to 89</w:t>
            </w:r>
          </w:p>
        </w:tc>
        <w:tc>
          <w:tcPr>
            <w:tcW w:w="1150" w:type="dxa"/>
            <w:hideMark/>
          </w:tcPr>
          <w:p w14:paraId="62DCE66C" w14:textId="77777777" w:rsidR="00107B14" w:rsidRDefault="00107B14" w:rsidP="00CD71A3">
            <w:pPr>
              <w:pStyle w:val="NormalWeb"/>
              <w:jc w:val="center"/>
            </w:pPr>
            <w:r>
              <w:t>52</w:t>
            </w:r>
          </w:p>
        </w:tc>
        <w:tc>
          <w:tcPr>
            <w:tcW w:w="1151" w:type="dxa"/>
            <w:hideMark/>
          </w:tcPr>
          <w:p w14:paraId="4F80BB43" w14:textId="77777777" w:rsidR="00107B14" w:rsidRDefault="00107B14" w:rsidP="00CD71A3">
            <w:pPr>
              <w:pStyle w:val="NormalWeb"/>
              <w:jc w:val="center"/>
            </w:pPr>
            <w:r>
              <w:t>60</w:t>
            </w:r>
          </w:p>
        </w:tc>
        <w:tc>
          <w:tcPr>
            <w:tcW w:w="1151" w:type="dxa"/>
            <w:hideMark/>
          </w:tcPr>
          <w:p w14:paraId="189CE71D" w14:textId="77777777" w:rsidR="00107B14" w:rsidRDefault="00107B14" w:rsidP="00CD71A3">
            <w:pPr>
              <w:pStyle w:val="NormalWeb"/>
              <w:jc w:val="center"/>
            </w:pPr>
            <w:r>
              <w:t>112</w:t>
            </w:r>
          </w:p>
        </w:tc>
        <w:tc>
          <w:tcPr>
            <w:tcW w:w="1151" w:type="dxa"/>
            <w:hideMark/>
          </w:tcPr>
          <w:p w14:paraId="565AFAFB" w14:textId="77777777" w:rsidR="00107B14" w:rsidRDefault="00107B14" w:rsidP="00CD71A3">
            <w:pPr>
              <w:pStyle w:val="NormalWeb"/>
              <w:jc w:val="center"/>
            </w:pPr>
            <w:r>
              <w:t>14.0</w:t>
            </w:r>
          </w:p>
        </w:tc>
        <w:tc>
          <w:tcPr>
            <w:tcW w:w="1151" w:type="dxa"/>
            <w:hideMark/>
          </w:tcPr>
          <w:p w14:paraId="7B5B58E7" w14:textId="77777777" w:rsidR="00107B14" w:rsidRDefault="00107B14" w:rsidP="00CD71A3">
            <w:pPr>
              <w:pStyle w:val="NormalWeb"/>
              <w:jc w:val="center"/>
            </w:pPr>
            <w:r>
              <w:t>12.7</w:t>
            </w:r>
          </w:p>
        </w:tc>
        <w:tc>
          <w:tcPr>
            <w:tcW w:w="1151" w:type="dxa"/>
            <w:hideMark/>
          </w:tcPr>
          <w:p w14:paraId="7A6EA16E" w14:textId="77777777" w:rsidR="00107B14" w:rsidRDefault="00107B14" w:rsidP="00CD71A3">
            <w:pPr>
              <w:pStyle w:val="NormalWeb"/>
              <w:jc w:val="center"/>
            </w:pPr>
            <w:r>
              <w:t>13.3</w:t>
            </w:r>
          </w:p>
        </w:tc>
        <w:tc>
          <w:tcPr>
            <w:tcW w:w="1134" w:type="dxa"/>
            <w:hideMark/>
          </w:tcPr>
          <w:p w14:paraId="0134018F" w14:textId="77777777" w:rsidR="00107B14" w:rsidRDefault="00107B14" w:rsidP="00CD71A3">
            <w:pPr>
              <w:pStyle w:val="NormalWeb"/>
              <w:jc w:val="center"/>
            </w:pPr>
            <w:r>
              <w:t>115</w:t>
            </w:r>
          </w:p>
        </w:tc>
        <w:tc>
          <w:tcPr>
            <w:tcW w:w="1134" w:type="dxa"/>
            <w:hideMark/>
          </w:tcPr>
          <w:p w14:paraId="432C8385" w14:textId="77777777" w:rsidR="00107B14" w:rsidRDefault="00107B14" w:rsidP="00CD71A3">
            <w:pPr>
              <w:pStyle w:val="NormalWeb"/>
              <w:jc w:val="center"/>
            </w:pPr>
            <w:r>
              <w:t>137</w:t>
            </w:r>
          </w:p>
        </w:tc>
        <w:tc>
          <w:tcPr>
            <w:tcW w:w="1135" w:type="dxa"/>
            <w:hideMark/>
          </w:tcPr>
          <w:p w14:paraId="1DBE647B" w14:textId="77777777" w:rsidR="00107B14" w:rsidRDefault="00107B14" w:rsidP="00CD71A3">
            <w:pPr>
              <w:pStyle w:val="NormalWeb"/>
              <w:jc w:val="center"/>
            </w:pPr>
            <w:r>
              <w:t>252</w:t>
            </w:r>
          </w:p>
        </w:tc>
        <w:tc>
          <w:tcPr>
            <w:tcW w:w="1134" w:type="dxa"/>
            <w:hideMark/>
          </w:tcPr>
          <w:p w14:paraId="2C21757D" w14:textId="77777777" w:rsidR="00107B14" w:rsidRDefault="00107B14" w:rsidP="00CD71A3">
            <w:pPr>
              <w:pStyle w:val="NormalWeb"/>
              <w:jc w:val="center"/>
            </w:pPr>
            <w:r>
              <w:t>31.0</w:t>
            </w:r>
          </w:p>
        </w:tc>
        <w:tc>
          <w:tcPr>
            <w:tcW w:w="1134" w:type="dxa"/>
            <w:hideMark/>
          </w:tcPr>
          <w:p w14:paraId="1AA4F5BC" w14:textId="77777777" w:rsidR="00107B14" w:rsidRDefault="00107B14" w:rsidP="00CD71A3">
            <w:pPr>
              <w:pStyle w:val="NormalWeb"/>
              <w:jc w:val="center"/>
            </w:pPr>
            <w:r>
              <w:t>28.9</w:t>
            </w:r>
          </w:p>
        </w:tc>
        <w:tc>
          <w:tcPr>
            <w:tcW w:w="1135" w:type="dxa"/>
            <w:hideMark/>
          </w:tcPr>
          <w:p w14:paraId="4573DF0D" w14:textId="77777777" w:rsidR="00107B14" w:rsidRDefault="00107B14" w:rsidP="00CD71A3">
            <w:pPr>
              <w:pStyle w:val="NormalWeb"/>
              <w:jc w:val="center"/>
            </w:pPr>
            <w:r>
              <w:t>29.8</w:t>
            </w:r>
          </w:p>
        </w:tc>
      </w:tr>
      <w:tr w:rsidR="00107B14" w14:paraId="79E25787" w14:textId="77777777" w:rsidTr="003E0394">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14:paraId="1428B2DA" w14:textId="77777777" w:rsidR="00107B14" w:rsidRDefault="00107B14" w:rsidP="00CD71A3">
            <w:pPr>
              <w:pStyle w:val="NormalWeb"/>
            </w:pPr>
            <w:r>
              <w:t>90 and over</w:t>
            </w:r>
          </w:p>
        </w:tc>
        <w:tc>
          <w:tcPr>
            <w:tcW w:w="1150" w:type="dxa"/>
            <w:hideMark/>
          </w:tcPr>
          <w:p w14:paraId="78621ACD" w14:textId="77777777" w:rsidR="00107B14" w:rsidRDefault="00107B14" w:rsidP="00CD71A3">
            <w:pPr>
              <w:pStyle w:val="NormalWeb"/>
              <w:jc w:val="center"/>
            </w:pPr>
            <w:r>
              <w:t>11</w:t>
            </w:r>
          </w:p>
        </w:tc>
        <w:tc>
          <w:tcPr>
            <w:tcW w:w="1151" w:type="dxa"/>
            <w:hideMark/>
          </w:tcPr>
          <w:p w14:paraId="66AB20DB" w14:textId="77777777" w:rsidR="00107B14" w:rsidRDefault="00107B14" w:rsidP="00CD71A3">
            <w:pPr>
              <w:pStyle w:val="NormalWeb"/>
              <w:jc w:val="center"/>
            </w:pPr>
            <w:r>
              <w:t>20</w:t>
            </w:r>
          </w:p>
        </w:tc>
        <w:tc>
          <w:tcPr>
            <w:tcW w:w="1151" w:type="dxa"/>
            <w:hideMark/>
          </w:tcPr>
          <w:p w14:paraId="4E187176" w14:textId="77777777" w:rsidR="00107B14" w:rsidRDefault="00107B14" w:rsidP="00CD71A3">
            <w:pPr>
              <w:pStyle w:val="NormalWeb"/>
              <w:jc w:val="center"/>
            </w:pPr>
            <w:r>
              <w:t>31</w:t>
            </w:r>
          </w:p>
        </w:tc>
        <w:tc>
          <w:tcPr>
            <w:tcW w:w="1151" w:type="dxa"/>
            <w:hideMark/>
          </w:tcPr>
          <w:p w14:paraId="1AC59808" w14:textId="77777777" w:rsidR="00107B14" w:rsidRDefault="00107B14" w:rsidP="00CD71A3">
            <w:pPr>
              <w:pStyle w:val="NormalWeb"/>
              <w:jc w:val="center"/>
            </w:pPr>
            <w:r>
              <w:t>15.0</w:t>
            </w:r>
          </w:p>
        </w:tc>
        <w:tc>
          <w:tcPr>
            <w:tcW w:w="1151" w:type="dxa"/>
            <w:hideMark/>
          </w:tcPr>
          <w:p w14:paraId="29662E6B" w14:textId="77777777" w:rsidR="00107B14" w:rsidRDefault="00107B14" w:rsidP="00CD71A3">
            <w:pPr>
              <w:pStyle w:val="NormalWeb"/>
              <w:jc w:val="center"/>
            </w:pPr>
            <w:r>
              <w:t>14.5</w:t>
            </w:r>
          </w:p>
        </w:tc>
        <w:tc>
          <w:tcPr>
            <w:tcW w:w="1151" w:type="dxa"/>
            <w:hideMark/>
          </w:tcPr>
          <w:p w14:paraId="500F8B99" w14:textId="77777777" w:rsidR="00107B14" w:rsidRDefault="00107B14" w:rsidP="00CD71A3">
            <w:pPr>
              <w:pStyle w:val="NormalWeb"/>
              <w:jc w:val="center"/>
            </w:pPr>
            <w:r>
              <w:t>14.7</w:t>
            </w:r>
          </w:p>
        </w:tc>
        <w:tc>
          <w:tcPr>
            <w:tcW w:w="1134" w:type="dxa"/>
            <w:hideMark/>
          </w:tcPr>
          <w:p w14:paraId="7F6B466B" w14:textId="77777777" w:rsidR="00107B14" w:rsidRDefault="00107B14" w:rsidP="00CD71A3">
            <w:pPr>
              <w:pStyle w:val="NormalWeb"/>
              <w:jc w:val="center"/>
            </w:pPr>
            <w:r>
              <w:t>29</w:t>
            </w:r>
          </w:p>
        </w:tc>
        <w:tc>
          <w:tcPr>
            <w:tcW w:w="1134" w:type="dxa"/>
            <w:hideMark/>
          </w:tcPr>
          <w:p w14:paraId="51796EE8" w14:textId="77777777" w:rsidR="00107B14" w:rsidRDefault="00107B14" w:rsidP="00CD71A3">
            <w:pPr>
              <w:pStyle w:val="NormalWeb"/>
              <w:jc w:val="center"/>
            </w:pPr>
            <w:r>
              <w:t>50</w:t>
            </w:r>
          </w:p>
        </w:tc>
        <w:tc>
          <w:tcPr>
            <w:tcW w:w="1135" w:type="dxa"/>
            <w:hideMark/>
          </w:tcPr>
          <w:p w14:paraId="3AA093D2" w14:textId="77777777" w:rsidR="00107B14" w:rsidRDefault="00107B14" w:rsidP="00CD71A3">
            <w:pPr>
              <w:pStyle w:val="NormalWeb"/>
              <w:jc w:val="center"/>
            </w:pPr>
            <w:r>
              <w:t>79</w:t>
            </w:r>
          </w:p>
        </w:tc>
        <w:tc>
          <w:tcPr>
            <w:tcW w:w="1134" w:type="dxa"/>
            <w:hideMark/>
          </w:tcPr>
          <w:p w14:paraId="3D53BB74" w14:textId="77777777" w:rsidR="00107B14" w:rsidRDefault="00107B14" w:rsidP="00CD71A3">
            <w:pPr>
              <w:pStyle w:val="NormalWeb"/>
              <w:jc w:val="center"/>
            </w:pPr>
            <w:r>
              <w:t>39.6</w:t>
            </w:r>
          </w:p>
        </w:tc>
        <w:tc>
          <w:tcPr>
            <w:tcW w:w="1134" w:type="dxa"/>
            <w:hideMark/>
          </w:tcPr>
          <w:p w14:paraId="504B14A6" w14:textId="77777777" w:rsidR="00107B14" w:rsidRDefault="00107B14" w:rsidP="00CD71A3">
            <w:pPr>
              <w:pStyle w:val="NormalWeb"/>
              <w:jc w:val="center"/>
            </w:pPr>
            <w:r>
              <w:t>36.2</w:t>
            </w:r>
          </w:p>
        </w:tc>
        <w:tc>
          <w:tcPr>
            <w:tcW w:w="1135" w:type="dxa"/>
            <w:hideMark/>
          </w:tcPr>
          <w:p w14:paraId="6B641764" w14:textId="77777777" w:rsidR="00107B14" w:rsidRDefault="00107B14" w:rsidP="00CD71A3">
            <w:pPr>
              <w:pStyle w:val="NormalWeb"/>
              <w:jc w:val="center"/>
            </w:pPr>
            <w:r>
              <w:t>37.4</w:t>
            </w:r>
          </w:p>
        </w:tc>
      </w:tr>
    </w:tbl>
    <w:p w14:paraId="7B44CE26" w14:textId="77777777" w:rsidR="00107B14" w:rsidRDefault="00107B14" w:rsidP="00107B14">
      <w:pPr>
        <w:pStyle w:val="CDIfootnotes"/>
        <w:rPr>
          <w:lang w:val="en-GB"/>
        </w:rPr>
      </w:pPr>
      <w:r>
        <w:rPr>
          <w:lang w:val="en-GB"/>
        </w:rPr>
        <w:t>a</w:t>
      </w:r>
      <w:r>
        <w:rPr>
          <w:lang w:val="en-GB"/>
        </w:rPr>
        <w:tab/>
        <w:t>Source: NINDSS, extract from 31 August 2021 for notifications up to 29 August 2021. Excludes cases where age or sex data is missing.</w:t>
      </w:r>
    </w:p>
    <w:p w14:paraId="19A58E9A" w14:textId="77777777" w:rsidR="00107B14" w:rsidRDefault="00107B14" w:rsidP="00107B14">
      <w:pPr>
        <w:pStyle w:val="CDIfootnotes"/>
        <w:rPr>
          <w:lang w:val="en-GB"/>
        </w:rPr>
      </w:pPr>
      <w:r>
        <w:rPr>
          <w:lang w:val="en-GB"/>
        </w:rPr>
        <w:t>b</w:t>
      </w:r>
      <w:r>
        <w:rPr>
          <w:lang w:val="en-GB"/>
        </w:rPr>
        <w:tab/>
        <w:t>Population data based on Australian Bureau of Statistics (ABS) Estimated Resident Population (ERP) as at June 2020.</w:t>
      </w:r>
    </w:p>
    <w:p w14:paraId="7F5C7B17" w14:textId="77777777" w:rsidR="00107B14" w:rsidRDefault="00107B14" w:rsidP="00107B14">
      <w:pPr>
        <w:pStyle w:val="CDIfootnotes"/>
        <w:rPr>
          <w:lang w:val="en-GB"/>
        </w:rPr>
      </w:pPr>
      <w:r>
        <w:rPr>
          <w:lang w:val="en-GB"/>
        </w:rPr>
        <w:t>c</w:t>
      </w:r>
      <w:r>
        <w:rPr>
          <w:lang w:val="en-GB"/>
        </w:rPr>
        <w:tab/>
        <w:t>Note the change to focus on rates in this year only. For cumulative rates since the beginning of the epidemic in Australia, readers are encouraged to consult previous reports.</w:t>
      </w:r>
    </w:p>
    <w:p w14:paraId="607195D6" w14:textId="77777777" w:rsidR="008B5348" w:rsidRDefault="008B5348">
      <w:pPr>
        <w:rPr>
          <w:rStyle w:val="A10"/>
        </w:rPr>
      </w:pPr>
      <w:r>
        <w:rPr>
          <w:rStyle w:val="A10"/>
        </w:rPr>
        <w:br w:type="page"/>
      </w:r>
    </w:p>
    <w:p w14:paraId="68F7CE96" w14:textId="2778C1ED" w:rsidR="008B5348" w:rsidRDefault="008B5348">
      <w:pPr>
        <w:rPr>
          <w:rStyle w:val="A10"/>
        </w:rPr>
        <w:sectPr w:rsidR="008B5348" w:rsidSect="00107B14">
          <w:footnotePr>
            <w:numFmt w:val="lowerRoman"/>
          </w:footnotePr>
          <w:pgSz w:w="16838" w:h="11906" w:orient="landscape"/>
          <w:pgMar w:top="720" w:right="720" w:bottom="720" w:left="1134" w:header="709" w:footer="284" w:gutter="0"/>
          <w:cols w:space="708"/>
          <w:titlePg/>
          <w:docGrid w:linePitch="360"/>
        </w:sectPr>
      </w:pPr>
    </w:p>
    <w:p w14:paraId="05BD3B92"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47A2FE45"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530179AD" w14:textId="77777777" w:rsidR="000A5F42" w:rsidRPr="000606CC" w:rsidRDefault="000A5F42" w:rsidP="000A5F42">
      <w:pPr>
        <w:pStyle w:val="NoSpacing"/>
        <w:rPr>
          <w:rStyle w:val="URI"/>
          <w:rFonts w:cstheme="minorHAnsi"/>
          <w:sz w:val="20"/>
          <w:szCs w:val="18"/>
        </w:rPr>
      </w:pPr>
    </w:p>
    <w:p w14:paraId="7AA5CF2A"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46097EFC" w14:textId="77777777" w:rsidR="000A5F42" w:rsidRPr="000606CC" w:rsidRDefault="000A5F42" w:rsidP="000A5F42">
      <w:pPr>
        <w:pStyle w:val="NoSpacing"/>
        <w:rPr>
          <w:rStyle w:val="Strong"/>
          <w:rFonts w:cstheme="minorHAnsi"/>
          <w:sz w:val="20"/>
          <w:szCs w:val="18"/>
        </w:rPr>
      </w:pPr>
    </w:p>
    <w:p w14:paraId="755965C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5C66A6" w:rsidRPr="005C66A6">
        <w:rPr>
          <w:rFonts w:cstheme="minorHAnsi"/>
          <w:sz w:val="20"/>
          <w:szCs w:val="18"/>
        </w:rPr>
        <w:t>Jennie Hood</w:t>
      </w:r>
    </w:p>
    <w:p w14:paraId="01A29A81"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560DE941"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6EBA4AC3"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7BD31292" w14:textId="77777777" w:rsidR="000A5F42" w:rsidRPr="000606CC" w:rsidRDefault="000A5F42" w:rsidP="000A5F42">
      <w:pPr>
        <w:pStyle w:val="NoSpacing"/>
        <w:rPr>
          <w:rStyle w:val="Strong"/>
          <w:rFonts w:cstheme="minorHAnsi"/>
          <w:sz w:val="20"/>
          <w:szCs w:val="18"/>
        </w:rPr>
      </w:pPr>
    </w:p>
    <w:p w14:paraId="6B7C756E" w14:textId="7480E68C"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20B1E9AF" w14:textId="77777777" w:rsidR="000A5F42" w:rsidRPr="000606CC" w:rsidRDefault="000A5F42" w:rsidP="000A5F42">
      <w:pPr>
        <w:pStyle w:val="NoSpacing"/>
        <w:rPr>
          <w:rStyle w:val="Strong"/>
          <w:rFonts w:cstheme="minorHAnsi"/>
          <w:sz w:val="20"/>
          <w:szCs w:val="18"/>
        </w:rPr>
      </w:pPr>
    </w:p>
    <w:p w14:paraId="645EA7A1"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CDI is produced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14:paraId="1E51A927" w14:textId="77777777" w:rsidR="000A5F42" w:rsidRPr="000606CC" w:rsidRDefault="000A5F42" w:rsidP="000A5F42">
      <w:pPr>
        <w:pStyle w:val="NoSpacing"/>
        <w:rPr>
          <w:rStyle w:val="Strong"/>
          <w:rFonts w:cstheme="minorHAnsi"/>
          <w:sz w:val="20"/>
          <w:szCs w:val="18"/>
        </w:rPr>
      </w:pPr>
    </w:p>
    <w:p w14:paraId="3DD2F298" w14:textId="2A71D1E8"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60B17840" w14:textId="77777777" w:rsidR="000A5F42" w:rsidRPr="000606CC" w:rsidRDefault="000A5F42" w:rsidP="000A5F42">
      <w:pPr>
        <w:pStyle w:val="NoSpacing"/>
        <w:rPr>
          <w:rStyle w:val="Strong"/>
          <w:rFonts w:cstheme="minorHAnsi"/>
          <w:sz w:val="20"/>
          <w:szCs w:val="18"/>
        </w:rPr>
      </w:pPr>
    </w:p>
    <w:p w14:paraId="135F1096" w14:textId="7F05403D"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410BFC18" w14:textId="6AE84074"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8" w:history="1">
        <w:r w:rsidRPr="000606CC">
          <w:rPr>
            <w:rStyle w:val="Hyperlink"/>
            <w:rFonts w:cstheme="minorHAnsi"/>
            <w:sz w:val="20"/>
            <w:szCs w:val="18"/>
          </w:rPr>
          <w:t>cdi.editor@health.gov.au</w:t>
        </w:r>
      </w:hyperlink>
      <w:r w:rsidRPr="000606CC">
        <w:rPr>
          <w:rFonts w:cstheme="minorHAnsi"/>
          <w:sz w:val="20"/>
          <w:szCs w:val="18"/>
        </w:rPr>
        <w:t>.</w:t>
      </w:r>
    </w:p>
    <w:p w14:paraId="03D30801" w14:textId="77777777" w:rsidR="000A5F42" w:rsidRPr="000606CC" w:rsidRDefault="000A5F42" w:rsidP="000A5F42">
      <w:pPr>
        <w:pStyle w:val="NoSpacing"/>
        <w:pBdr>
          <w:bottom w:val="single" w:sz="6" w:space="1" w:color="auto"/>
        </w:pBdr>
        <w:rPr>
          <w:rStyle w:val="Strong"/>
          <w:rFonts w:cstheme="minorHAnsi"/>
          <w:sz w:val="12"/>
          <w:szCs w:val="18"/>
        </w:rPr>
      </w:pPr>
    </w:p>
    <w:p w14:paraId="51E6B553" w14:textId="77777777" w:rsidR="000A5F42" w:rsidRPr="000606CC" w:rsidRDefault="000A5F42" w:rsidP="000A5F42">
      <w:pPr>
        <w:pStyle w:val="NoSpacing"/>
        <w:rPr>
          <w:rFonts w:cstheme="minorHAnsi"/>
          <w:sz w:val="20"/>
          <w:szCs w:val="18"/>
        </w:rPr>
      </w:pPr>
    </w:p>
    <w:p w14:paraId="1AC71C61"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639865F1" w14:textId="77777777" w:rsidR="000A5F42" w:rsidRPr="000606CC" w:rsidRDefault="000A5F42" w:rsidP="000A5F42">
      <w:pPr>
        <w:pStyle w:val="NoSpacing"/>
        <w:rPr>
          <w:rFonts w:cstheme="minorHAnsi"/>
          <w:sz w:val="20"/>
          <w:szCs w:val="18"/>
        </w:rPr>
      </w:pPr>
    </w:p>
    <w:p w14:paraId="688BAAEF"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5129919A"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14:paraId="42C3A7AC" w14:textId="2DCAD649"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67044C72" w14:textId="77777777" w:rsidR="000A5F42" w:rsidRPr="000606CC" w:rsidRDefault="000A5F42" w:rsidP="000A5F42">
      <w:pPr>
        <w:pStyle w:val="NoSpacing"/>
        <w:rPr>
          <w:rFonts w:cstheme="minorHAnsi"/>
          <w:sz w:val="20"/>
          <w:szCs w:val="18"/>
        </w:rPr>
      </w:pPr>
    </w:p>
    <w:p w14:paraId="2AF59EE3"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2BDD2C67" w14:textId="1544F3E4"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5EFD3F43"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3470D0FF"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670E9070"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34C815A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7AF41A0F" w14:textId="77777777" w:rsidR="000A5F42" w:rsidRPr="000606CC" w:rsidRDefault="000A5F42" w:rsidP="000A5F42">
      <w:pPr>
        <w:pStyle w:val="NoSpacing"/>
        <w:rPr>
          <w:rStyle w:val="Strong"/>
          <w:rFonts w:cstheme="minorHAnsi"/>
          <w:sz w:val="20"/>
          <w:szCs w:val="18"/>
        </w:rPr>
      </w:pPr>
    </w:p>
    <w:p w14:paraId="0198A298"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57A25F7C" w14:textId="77777777" w:rsidR="000A5F42" w:rsidRPr="000606CC" w:rsidRDefault="000A5F42" w:rsidP="000A5F42">
      <w:pPr>
        <w:pStyle w:val="NoSpacing"/>
        <w:rPr>
          <w:rStyle w:val="Strong"/>
          <w:rFonts w:cstheme="minorHAnsi"/>
          <w:sz w:val="20"/>
          <w:szCs w:val="18"/>
        </w:rPr>
      </w:pPr>
    </w:p>
    <w:p w14:paraId="0B35EFB8" w14:textId="1D3B1343"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2F3A125A" w14:textId="77777777" w:rsidR="000A5F42" w:rsidRPr="000606CC" w:rsidRDefault="000A5F42" w:rsidP="000A5F42">
      <w:pPr>
        <w:pStyle w:val="NoSpacing"/>
        <w:rPr>
          <w:rStyle w:val="URI"/>
          <w:rFonts w:cstheme="minorHAnsi"/>
          <w:sz w:val="20"/>
          <w:szCs w:val="18"/>
        </w:rPr>
      </w:pPr>
    </w:p>
    <w:p w14:paraId="61DEDC7D" w14:textId="53A5DD36"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14:paraId="3DBD806D" w14:textId="77777777" w:rsidR="001B37B8" w:rsidRPr="00E92237" w:rsidRDefault="001B37B8" w:rsidP="001B37B8">
      <w:pPr>
        <w:rPr>
          <w:rFonts w:cs="Myriad Pro"/>
          <w:color w:val="211D1E"/>
          <w:sz w:val="20"/>
          <w:szCs w:val="20"/>
        </w:rPr>
      </w:pPr>
    </w:p>
    <w:sectPr w:rsidR="001B37B8" w:rsidRPr="00E92237" w:rsidSect="002B75A9">
      <w:headerReference w:type="default" r:id="rId23"/>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21981" w14:textId="77777777" w:rsidR="00CD71A3" w:rsidRDefault="00CD71A3" w:rsidP="00E54DBA">
      <w:r>
        <w:separator/>
      </w:r>
    </w:p>
    <w:p w14:paraId="4A892DE6" w14:textId="77777777" w:rsidR="00CD71A3" w:rsidRDefault="00CD71A3"/>
    <w:p w14:paraId="0BB2A7B3" w14:textId="77777777" w:rsidR="00CD71A3" w:rsidRDefault="00CD71A3" w:rsidP="008714B0"/>
  </w:endnote>
  <w:endnote w:type="continuationSeparator" w:id="0">
    <w:p w14:paraId="055D031D" w14:textId="77777777" w:rsidR="00CD71A3" w:rsidRDefault="00CD71A3" w:rsidP="00E54DBA">
      <w:r>
        <w:continuationSeparator/>
      </w:r>
    </w:p>
    <w:p w14:paraId="5C4D3046" w14:textId="77777777" w:rsidR="00CD71A3" w:rsidRDefault="00CD71A3"/>
    <w:p w14:paraId="1841C4E0" w14:textId="77777777" w:rsidR="00CD71A3" w:rsidRDefault="00CD71A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SmBd">
    <w:altName w:val="Cambria"/>
    <w:panose1 w:val="02040603060306020203"/>
    <w:charset w:val="00"/>
    <w:family w:val="roman"/>
    <w:notTrueType/>
    <w:pitch w:val="variable"/>
    <w:sig w:usb0="60000287" w:usb1="00000001" w:usb2="00000000" w:usb3="00000000" w:csb0="0000019F" w:csb1="00000000"/>
  </w:font>
  <w:font w:name="Myriad Pro Cond">
    <w:altName w:val="Segoe UI"/>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D53A" w14:textId="4704F1A3" w:rsidR="00CD71A3" w:rsidRPr="0042435E" w:rsidRDefault="00CD71A3"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Pr>
        <w:noProof/>
        <w:sz w:val="18"/>
      </w:rPr>
      <w:t>3</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Pr>
        <w:noProof/>
        <w:sz w:val="18"/>
      </w:rPr>
      <w:t>3</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9F07FC">
      <w:rPr>
        <w:i/>
        <w:sz w:val="18"/>
      </w:rPr>
      <w:t>Commun</w:t>
    </w:r>
    <w:proofErr w:type="spellEnd"/>
    <w:r w:rsidRPr="009F07FC">
      <w:rPr>
        <w:i/>
        <w:sz w:val="18"/>
      </w:rPr>
      <w:t xml:space="preserve"> Dis </w:t>
    </w:r>
    <w:proofErr w:type="spellStart"/>
    <w:r w:rsidRPr="009F07FC">
      <w:rPr>
        <w:i/>
        <w:sz w:val="18"/>
      </w:rPr>
      <w:t>Intell</w:t>
    </w:r>
    <w:proofErr w:type="spellEnd"/>
    <w:r w:rsidRPr="009F07FC">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A13EC8">
      <w:rPr>
        <w:sz w:val="18"/>
      </w:rPr>
      <w:t>https://doi.org/10.33321/cdi.2021.45.49</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A13EC8">
      <w:rPr>
        <w:sz w:val="18"/>
      </w:rPr>
      <w:t>8/9/2021</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890B" w14:textId="379B9C6B" w:rsidR="00CD71A3" w:rsidRPr="00BB5378" w:rsidRDefault="00CD71A3"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Pr>
        <w:noProof/>
        <w:sz w:val="18"/>
      </w:rPr>
      <w:t>3</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9F07FC">
      <w:rPr>
        <w:i/>
        <w:sz w:val="18"/>
      </w:rPr>
      <w:t>Commun</w:t>
    </w:r>
    <w:proofErr w:type="spellEnd"/>
    <w:r w:rsidRPr="009F07FC">
      <w:rPr>
        <w:i/>
        <w:sz w:val="18"/>
      </w:rPr>
      <w:t xml:space="preserve"> Dis </w:t>
    </w:r>
    <w:proofErr w:type="spellStart"/>
    <w:r w:rsidRPr="009F07FC">
      <w:rPr>
        <w:i/>
        <w:sz w:val="18"/>
      </w:rPr>
      <w:t>Intell</w:t>
    </w:r>
    <w:proofErr w:type="spellEnd"/>
    <w:r w:rsidRPr="009F07FC">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A13EC8">
      <w:rPr>
        <w:sz w:val="18"/>
      </w:rPr>
      <w:t>https://doi.org/10.33321/cdi.2021.45.49</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A13EC8">
      <w:rPr>
        <w:sz w:val="18"/>
      </w:rPr>
      <w:t>8/9/2021</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A759" w14:textId="77777777" w:rsidR="00CD71A3" w:rsidRPr="00B91FB5" w:rsidRDefault="00CD71A3" w:rsidP="00B91FB5">
      <w:pPr>
        <w:spacing w:after="0" w:line="240" w:lineRule="auto"/>
        <w:rPr>
          <w:sz w:val="18"/>
          <w:szCs w:val="18"/>
        </w:rPr>
      </w:pPr>
      <w:r w:rsidRPr="00B91FB5">
        <w:rPr>
          <w:sz w:val="18"/>
          <w:szCs w:val="18"/>
        </w:rPr>
        <w:separator/>
      </w:r>
    </w:p>
  </w:footnote>
  <w:footnote w:type="continuationSeparator" w:id="0">
    <w:p w14:paraId="7B534F9E" w14:textId="77777777" w:rsidR="00CD71A3" w:rsidRDefault="00CD71A3" w:rsidP="00E54DBA">
      <w:r>
        <w:continuationSeparator/>
      </w:r>
    </w:p>
  </w:footnote>
  <w:footnote w:type="continuationNotice" w:id="1">
    <w:p w14:paraId="2DD2BD49" w14:textId="77777777" w:rsidR="00CD71A3" w:rsidRPr="00224EFF" w:rsidRDefault="00CD71A3" w:rsidP="00224EFF">
      <w:pPr>
        <w:pStyle w:val="Footer"/>
      </w:pPr>
    </w:p>
  </w:footnote>
  <w:footnote w:id="2">
    <w:p w14:paraId="72DE9914" w14:textId="0E3A6679" w:rsidR="00CD71A3" w:rsidRPr="003728C2" w:rsidRDefault="00CD71A3" w:rsidP="003728C2">
      <w:pPr>
        <w:pStyle w:val="CDIfootnotes"/>
      </w:pPr>
      <w:r w:rsidRPr="003728C2">
        <w:rPr>
          <w:rStyle w:val="FootnoteReference"/>
          <w:vertAlign w:val="baseline"/>
        </w:rPr>
        <w:footnoteRef/>
      </w:r>
      <w:r w:rsidRPr="003728C2">
        <w:tab/>
        <w:t>https://www.health.gov.au/news/health-alerts/novel-coronavirus-2019-ncov-health-alert#local-outbreak-information.</w:t>
      </w:r>
    </w:p>
  </w:footnote>
  <w:footnote w:id="3">
    <w:p w14:paraId="47B662D5" w14:textId="33D9832C" w:rsidR="00CD71A3" w:rsidRPr="003728C2" w:rsidRDefault="00CD71A3" w:rsidP="003728C2">
      <w:pPr>
        <w:pStyle w:val="CDIfootnotes"/>
      </w:pPr>
      <w:r w:rsidRPr="003728C2">
        <w:rPr>
          <w:rStyle w:val="FootnoteReference"/>
          <w:vertAlign w:val="baseline"/>
        </w:rPr>
        <w:footnoteRef/>
      </w:r>
      <w:r w:rsidRPr="003728C2">
        <w:tab/>
        <w:t>https://www.who.int/emergencies/diseases/novel-coronavirus-2019/situation-reports/.</w:t>
      </w:r>
    </w:p>
  </w:footnote>
  <w:footnote w:id="4">
    <w:p w14:paraId="217258D9" w14:textId="5C815853" w:rsidR="00CD71A3" w:rsidRPr="003728C2" w:rsidRDefault="00CD71A3" w:rsidP="003728C2">
      <w:pPr>
        <w:pStyle w:val="CDIfootnotes"/>
      </w:pPr>
      <w:r w:rsidRPr="003728C2">
        <w:rPr>
          <w:rStyle w:val="FootnoteReference"/>
          <w:vertAlign w:val="baseline"/>
        </w:rPr>
        <w:footnoteRef/>
      </w:r>
      <w:r w:rsidRPr="003728C2">
        <w:tab/>
        <w:t>https://www.health.gov.au/news/health-alerts/novel-coronavirus-2019-ncov-health-alert/coronavirus-covid-19-current-situation-and-case-numbers.</w:t>
      </w:r>
    </w:p>
  </w:footnote>
  <w:footnote w:id="5">
    <w:p w14:paraId="000B146C" w14:textId="24FD2A10" w:rsidR="00CD71A3" w:rsidRDefault="00CD71A3" w:rsidP="003728C2">
      <w:pPr>
        <w:pStyle w:val="CDIfootnotes"/>
      </w:pPr>
      <w:r w:rsidRPr="003728C2">
        <w:rPr>
          <w:rStyle w:val="FootnoteReference"/>
          <w:vertAlign w:val="baseline"/>
        </w:rPr>
        <w:footnoteRef/>
      </w:r>
      <w:r>
        <w:tab/>
      </w:r>
      <w:r w:rsidRPr="003728C2">
        <w:t>Previously known as the National Notifiable Diseases Surveillance System (NNDSS).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B68D" w14:textId="7154F396" w:rsidR="00CD71A3" w:rsidRPr="00A153B6" w:rsidRDefault="00A13EC8"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CD71A3">
          <w:t>Surveillance summary</w:t>
        </w:r>
      </w:sdtContent>
    </w:sdt>
    <w:r w:rsidR="00CD71A3">
      <w:ptab w:relativeTo="margin" w:alignment="right" w:leader="none"/>
    </w:r>
    <w:r w:rsidR="00CD71A3"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954A" w14:textId="77777777" w:rsidR="00CD71A3" w:rsidRPr="000A5F42" w:rsidRDefault="00CD71A3" w:rsidP="000A5F42">
    <w:pPr>
      <w:pStyle w:val="Header"/>
      <w:jc w:val="center"/>
      <w:rPr>
        <w:b/>
      </w:rPr>
    </w:pPr>
    <w:r w:rsidRPr="00E810C5">
      <w:rPr>
        <w:rFonts w:cs="Myriad Pro"/>
        <w:noProof/>
        <w:color w:val="211D1E"/>
        <w:sz w:val="16"/>
      </w:rPr>
      <w:drawing>
        <wp:inline distT="0" distB="0" distL="0" distR="0" wp14:anchorId="24E0AF37" wp14:editId="5AAE87C0">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718E1"/>
    <w:multiLevelType w:val="hybridMultilevel"/>
    <w:tmpl w:val="36527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F2B5D"/>
    <w:multiLevelType w:val="multilevel"/>
    <w:tmpl w:val="9DC2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454CE"/>
    <w:multiLevelType w:val="hybridMultilevel"/>
    <w:tmpl w:val="6BF65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hdrShapeDefaults>
    <o:shapedefaults v:ext="edit" spidmax="12289"/>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8E"/>
    <w:rsid w:val="00000B5B"/>
    <w:rsid w:val="00001611"/>
    <w:rsid w:val="000104A8"/>
    <w:rsid w:val="0001246E"/>
    <w:rsid w:val="000124B1"/>
    <w:rsid w:val="00016FE6"/>
    <w:rsid w:val="00031064"/>
    <w:rsid w:val="00031692"/>
    <w:rsid w:val="00032531"/>
    <w:rsid w:val="000325A0"/>
    <w:rsid w:val="00046E34"/>
    <w:rsid w:val="000471BF"/>
    <w:rsid w:val="00047B68"/>
    <w:rsid w:val="00052600"/>
    <w:rsid w:val="0005643C"/>
    <w:rsid w:val="0006264A"/>
    <w:rsid w:val="00073D77"/>
    <w:rsid w:val="00081655"/>
    <w:rsid w:val="000864E0"/>
    <w:rsid w:val="000969B3"/>
    <w:rsid w:val="000A5F42"/>
    <w:rsid w:val="000D4B4D"/>
    <w:rsid w:val="00107B14"/>
    <w:rsid w:val="00113D58"/>
    <w:rsid w:val="001200CB"/>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B6B33"/>
    <w:rsid w:val="001C0893"/>
    <w:rsid w:val="001C1303"/>
    <w:rsid w:val="001C70B2"/>
    <w:rsid w:val="001D37C7"/>
    <w:rsid w:val="001D6888"/>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8C2"/>
    <w:rsid w:val="00372A88"/>
    <w:rsid w:val="00381A0F"/>
    <w:rsid w:val="003A1B3A"/>
    <w:rsid w:val="003A40F5"/>
    <w:rsid w:val="003B5B8C"/>
    <w:rsid w:val="003D79B1"/>
    <w:rsid w:val="003E0394"/>
    <w:rsid w:val="003E74EE"/>
    <w:rsid w:val="003F0552"/>
    <w:rsid w:val="003F3BC2"/>
    <w:rsid w:val="00401ED1"/>
    <w:rsid w:val="0040224C"/>
    <w:rsid w:val="00412D42"/>
    <w:rsid w:val="00413EE1"/>
    <w:rsid w:val="004164BB"/>
    <w:rsid w:val="0042000E"/>
    <w:rsid w:val="00421ECE"/>
    <w:rsid w:val="00422FEB"/>
    <w:rsid w:val="0042435E"/>
    <w:rsid w:val="004315F5"/>
    <w:rsid w:val="00433456"/>
    <w:rsid w:val="00433DFA"/>
    <w:rsid w:val="00435D67"/>
    <w:rsid w:val="00464A58"/>
    <w:rsid w:val="00473D2D"/>
    <w:rsid w:val="004A2125"/>
    <w:rsid w:val="004A38F6"/>
    <w:rsid w:val="004B4EB6"/>
    <w:rsid w:val="004C083C"/>
    <w:rsid w:val="004C67C6"/>
    <w:rsid w:val="004D04CC"/>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33DD"/>
    <w:rsid w:val="005E4229"/>
    <w:rsid w:val="005E540E"/>
    <w:rsid w:val="005E55FB"/>
    <w:rsid w:val="005F16BB"/>
    <w:rsid w:val="00607115"/>
    <w:rsid w:val="00620768"/>
    <w:rsid w:val="0062594B"/>
    <w:rsid w:val="00631406"/>
    <w:rsid w:val="006324FF"/>
    <w:rsid w:val="006351D6"/>
    <w:rsid w:val="00636E0D"/>
    <w:rsid w:val="0064142F"/>
    <w:rsid w:val="00643CB4"/>
    <w:rsid w:val="00656427"/>
    <w:rsid w:val="00660255"/>
    <w:rsid w:val="006971F3"/>
    <w:rsid w:val="006C74A3"/>
    <w:rsid w:val="006D1381"/>
    <w:rsid w:val="006D31BC"/>
    <w:rsid w:val="006E7943"/>
    <w:rsid w:val="006F24EA"/>
    <w:rsid w:val="00704CA9"/>
    <w:rsid w:val="0071048D"/>
    <w:rsid w:val="00710F86"/>
    <w:rsid w:val="007111A8"/>
    <w:rsid w:val="007220A8"/>
    <w:rsid w:val="00731BC3"/>
    <w:rsid w:val="00741192"/>
    <w:rsid w:val="00743A33"/>
    <w:rsid w:val="00746080"/>
    <w:rsid w:val="0075144A"/>
    <w:rsid w:val="00786329"/>
    <w:rsid w:val="00792C7D"/>
    <w:rsid w:val="00794A4D"/>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50D54"/>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2FDA"/>
    <w:rsid w:val="008F77B3"/>
    <w:rsid w:val="009008F5"/>
    <w:rsid w:val="00904CC1"/>
    <w:rsid w:val="009066AF"/>
    <w:rsid w:val="00912050"/>
    <w:rsid w:val="00912E48"/>
    <w:rsid w:val="0092746F"/>
    <w:rsid w:val="00935DC9"/>
    <w:rsid w:val="009446C0"/>
    <w:rsid w:val="0096082E"/>
    <w:rsid w:val="00961347"/>
    <w:rsid w:val="009673C3"/>
    <w:rsid w:val="00967410"/>
    <w:rsid w:val="00967D73"/>
    <w:rsid w:val="009763AB"/>
    <w:rsid w:val="0098119A"/>
    <w:rsid w:val="00984AAF"/>
    <w:rsid w:val="00991B09"/>
    <w:rsid w:val="00993CB2"/>
    <w:rsid w:val="009A5166"/>
    <w:rsid w:val="009A76F8"/>
    <w:rsid w:val="009B2B83"/>
    <w:rsid w:val="009C49F8"/>
    <w:rsid w:val="009D77CC"/>
    <w:rsid w:val="009E2423"/>
    <w:rsid w:val="009E55D7"/>
    <w:rsid w:val="009F07FC"/>
    <w:rsid w:val="009F1343"/>
    <w:rsid w:val="009F4150"/>
    <w:rsid w:val="009F5665"/>
    <w:rsid w:val="009F5DAD"/>
    <w:rsid w:val="00A01BCA"/>
    <w:rsid w:val="00A10458"/>
    <w:rsid w:val="00A13EC8"/>
    <w:rsid w:val="00A153B6"/>
    <w:rsid w:val="00A164D5"/>
    <w:rsid w:val="00A273C3"/>
    <w:rsid w:val="00A30C37"/>
    <w:rsid w:val="00A32CF3"/>
    <w:rsid w:val="00A36C65"/>
    <w:rsid w:val="00A41BBE"/>
    <w:rsid w:val="00A443E3"/>
    <w:rsid w:val="00A45BDD"/>
    <w:rsid w:val="00A46A0A"/>
    <w:rsid w:val="00A553F8"/>
    <w:rsid w:val="00A6708F"/>
    <w:rsid w:val="00A71BF6"/>
    <w:rsid w:val="00A7275F"/>
    <w:rsid w:val="00A86F9A"/>
    <w:rsid w:val="00AA35E6"/>
    <w:rsid w:val="00AA50B6"/>
    <w:rsid w:val="00AA7CFD"/>
    <w:rsid w:val="00AB3472"/>
    <w:rsid w:val="00AD0762"/>
    <w:rsid w:val="00AE3DCF"/>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91FB5"/>
    <w:rsid w:val="00B95BF1"/>
    <w:rsid w:val="00B960A9"/>
    <w:rsid w:val="00BA4697"/>
    <w:rsid w:val="00BB5378"/>
    <w:rsid w:val="00BC0BD3"/>
    <w:rsid w:val="00BC258E"/>
    <w:rsid w:val="00BD0107"/>
    <w:rsid w:val="00BE0C33"/>
    <w:rsid w:val="00BE262C"/>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841C0"/>
    <w:rsid w:val="00CA1AF4"/>
    <w:rsid w:val="00CA6068"/>
    <w:rsid w:val="00CB15E1"/>
    <w:rsid w:val="00CB17D8"/>
    <w:rsid w:val="00CB3D46"/>
    <w:rsid w:val="00CD1A87"/>
    <w:rsid w:val="00CD35F3"/>
    <w:rsid w:val="00CD5C93"/>
    <w:rsid w:val="00CD71A3"/>
    <w:rsid w:val="00CE342B"/>
    <w:rsid w:val="00CF320C"/>
    <w:rsid w:val="00CF3A4B"/>
    <w:rsid w:val="00CF4001"/>
    <w:rsid w:val="00D05837"/>
    <w:rsid w:val="00D1211B"/>
    <w:rsid w:val="00D12D8A"/>
    <w:rsid w:val="00D13E0C"/>
    <w:rsid w:val="00D25896"/>
    <w:rsid w:val="00D373A1"/>
    <w:rsid w:val="00D37C0F"/>
    <w:rsid w:val="00D45661"/>
    <w:rsid w:val="00D45943"/>
    <w:rsid w:val="00D47D22"/>
    <w:rsid w:val="00D51865"/>
    <w:rsid w:val="00D51D0C"/>
    <w:rsid w:val="00D74140"/>
    <w:rsid w:val="00DA6E56"/>
    <w:rsid w:val="00DC24E5"/>
    <w:rsid w:val="00DC6705"/>
    <w:rsid w:val="00DD04BC"/>
    <w:rsid w:val="00DD2DE8"/>
    <w:rsid w:val="00DE38B4"/>
    <w:rsid w:val="00DE5D02"/>
    <w:rsid w:val="00E005A9"/>
    <w:rsid w:val="00E1166E"/>
    <w:rsid w:val="00E24DC0"/>
    <w:rsid w:val="00E2519C"/>
    <w:rsid w:val="00E25F2A"/>
    <w:rsid w:val="00E41455"/>
    <w:rsid w:val="00E42AD2"/>
    <w:rsid w:val="00E50856"/>
    <w:rsid w:val="00E538CC"/>
    <w:rsid w:val="00E54BBD"/>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14FC"/>
    <w:rsid w:val="00F12006"/>
    <w:rsid w:val="00F14F3B"/>
    <w:rsid w:val="00F16362"/>
    <w:rsid w:val="00F207C7"/>
    <w:rsid w:val="00F36B6D"/>
    <w:rsid w:val="00F43FA3"/>
    <w:rsid w:val="00F55648"/>
    <w:rsid w:val="00F70046"/>
    <w:rsid w:val="00F748C2"/>
    <w:rsid w:val="00F74958"/>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0A20EC"/>
  <w15:docId w15:val="{DF5D2843-937C-4F5F-B0F6-D012C20D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42000E"/>
    <w:pPr>
      <w:spacing w:after="0" w:line="240" w:lineRule="auto"/>
    </w:pPr>
    <w:rPr>
      <w:rFonts w:ascii="Calibri" w:hAnsi="Calibri"/>
    </w:rPr>
    <w:tblPr>
      <w:tblStyleRowBandSize w:val="1"/>
      <w:tblCellMar>
        <w:top w:w="57" w:type="dxa"/>
        <w:left w:w="57" w:type="dxa"/>
        <w:bottom w:w="57" w:type="dxa"/>
        <w:right w:w="57" w:type="dxa"/>
      </w:tblCellMar>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2.xml"/><Relationship Id="rId22" Type="http://schemas.openxmlformats.org/officeDocument/2006/relationships/hyperlink" Target="http://www.health.gov.au/cd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27</TotalTime>
  <Pages>14</Pages>
  <Words>4089</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Communicable Diseases Intelligence 2021 - COVID-19 Australia: Epidemiology Report 49</vt:lpstr>
    </vt:vector>
  </TitlesOfParts>
  <Company>Australian Government, Department of Health</Company>
  <LinksUpToDate>false</LinksUpToDate>
  <CharactersWithSpaces>26219</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2021 - COVID-19 Australia: Epidemiology Report 49</dc:title>
  <dc:subject>This is the forty-ninth epidemiological report for coronavirus disease 2019 (COVID-19), reported in Australia as at 23:59 Australian Eastern Standard Time [AEST] 29 August 2021. It includes data on COVID-19 cases diagnosed in Australia. </dc:subject>
  <dc:creator>COVID-19 National Incident Room Surveillance Team </dc:creator>
  <cp:keywords>SARS-CoV-2; novel coronavirus;2019-nCoV; coronavirus disease 2019;COVID-19; acute respiratory disease; epidemiology;Australia</cp:keywords>
  <dc:description>© Commonwealth of Australia CC BY-NC-ND ISSN: 2209-6051 (Online)</dc:description>
  <cp:lastModifiedBy>YOUSEFI, Kasra</cp:lastModifiedBy>
  <cp:revision>5</cp:revision>
  <cp:lastPrinted>2018-05-10T02:19:00Z</cp:lastPrinted>
  <dcterms:created xsi:type="dcterms:W3CDTF">2021-09-07T00:55:00Z</dcterms:created>
  <dcterms:modified xsi:type="dcterms:W3CDTF">2021-09-08T00:40:00Z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8/9/2021</vt:lpwstr>
  </property>
  <property fmtid="{D5CDD505-2E9C-101B-9397-08002B2CF9AE}" pid="5" name="DOI">
    <vt:lpwstr>https://doi.org/10.33321/cdi.2021.45.49</vt:lpwstr>
  </property>
</Properties>
</file>