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BA33F" w14:textId="77777777" w:rsidR="00FE4DEF" w:rsidRDefault="00FE4DEF" w:rsidP="00FE4DEF">
      <w:pPr>
        <w:pStyle w:val="Title"/>
        <w:rPr>
          <w:rFonts w:eastAsia="Times New Roman"/>
          <w:sz w:val="48"/>
          <w:szCs w:val="48"/>
        </w:rPr>
      </w:pPr>
      <w:r>
        <w:rPr>
          <w:rFonts w:eastAsia="Times New Roman"/>
        </w:rPr>
        <w:t>COVID-19 Australia: Epidemiology Report 24</w:t>
      </w:r>
      <w:r w:rsidR="002822AD">
        <w:rPr>
          <w:rStyle w:val="FootnoteReference"/>
          <w:rFonts w:eastAsia="Times New Roman"/>
        </w:rPr>
        <w:footnoteReference w:id="2"/>
      </w:r>
      <w:r>
        <w:rPr>
          <w:rFonts w:eastAsia="Times New Roman"/>
        </w:rPr>
        <w:t xml:space="preserve"> </w:t>
      </w:r>
    </w:p>
    <w:p w14:paraId="76126CBE" w14:textId="77777777" w:rsidR="00FE4DEF" w:rsidRDefault="00FE4DEF" w:rsidP="00070F67">
      <w:pPr>
        <w:pStyle w:val="Subtitle"/>
        <w:rPr>
          <w:rFonts w:eastAsia="Times New Roman"/>
        </w:rPr>
      </w:pPr>
      <w:r>
        <w:rPr>
          <w:rFonts w:eastAsia="Times New Roman"/>
        </w:rPr>
        <w:t xml:space="preserve">Fortnightly reporting </w:t>
      </w:r>
      <w:bookmarkStart w:id="0" w:name="_GoBack"/>
      <w:bookmarkEnd w:id="0"/>
      <w:r>
        <w:rPr>
          <w:rFonts w:eastAsia="Times New Roman"/>
        </w:rPr>
        <w:t xml:space="preserve">period ending 30 August 2020 </w:t>
      </w:r>
    </w:p>
    <w:p w14:paraId="3BE2B274" w14:textId="77777777" w:rsidR="00FE4DEF" w:rsidRDefault="00FE4DEF" w:rsidP="00070F67">
      <w:r>
        <w:t xml:space="preserve">COVID-19 National Incident Room Surveillance Team </w:t>
      </w:r>
    </w:p>
    <w:p w14:paraId="02E4E8AE" w14:textId="77777777" w:rsidR="00FE4DEF" w:rsidRDefault="00FE4DEF" w:rsidP="00FE4DEF">
      <w:r w:rsidRPr="001513CF">
        <w:rPr>
          <w:rStyle w:val="Emphasis"/>
          <w:b w:val="0"/>
        </w:rPr>
        <w:t xml:space="preserve">Unless indicated, the source of all data, including notified cases of COVID-19 and associated deaths, is the National Notifiable Diseases Surveillance System (NNDSS) to </w:t>
      </w:r>
      <w:r>
        <w:t>30 August</w:t>
      </w:r>
      <w:r w:rsidRPr="001513CF">
        <w:rPr>
          <w:rStyle w:val="Emphasis"/>
          <w:b w:val="0"/>
        </w:rPr>
        <w:t xml:space="preserve">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COVID-19 notifications by jurisdiction and by source of acquisition, for the current reporting fortnight. Most new COVID-19 notifications (1,640/1,751) have been reported in Victoria, where most cases are locally acquired and a large number of recent cases remain under investigation. New South Wales has reported 86 new COVID-19 notifications, the majority of which are locally acquired. In other states and territories, new notifications are predominantly overseas-acquired.&#10;"/>
      </w:tblPr>
      <w:tblGrid>
        <w:gridCol w:w="2704"/>
        <w:gridCol w:w="2102"/>
        <w:gridCol w:w="2105"/>
        <w:gridCol w:w="3529"/>
      </w:tblGrid>
      <w:tr w:rsidR="00CD6088" w:rsidRPr="00CD6088" w14:paraId="6316058C" w14:textId="77777777" w:rsidTr="0064000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22BF1B34" w14:textId="77777777" w:rsidR="00FE4DEF" w:rsidRPr="00CD6088" w:rsidRDefault="00FE4DEF">
            <w:pPr>
              <w:pStyle w:val="NormalWeb"/>
              <w:rPr>
                <w:color w:val="FFFFFF" w:themeColor="background1"/>
              </w:rPr>
            </w:pPr>
            <w:r w:rsidRPr="00CD6088">
              <w:rPr>
                <w:color w:val="FFFFFF" w:themeColor="background1"/>
              </w:rPr>
              <w:t xml:space="preserve">Confirmed cases in Australia </w:t>
            </w:r>
          </w:p>
        </w:tc>
        <w:tc>
          <w:tcPr>
            <w:tcW w:w="0" w:type="auto"/>
            <w:tcBorders>
              <w:left w:val="single" w:sz="2" w:space="0" w:color="FFFFFF" w:themeColor="background1"/>
              <w:right w:val="single" w:sz="2" w:space="0" w:color="FFFFFF" w:themeColor="background1"/>
            </w:tcBorders>
            <w:hideMark/>
          </w:tcPr>
          <w:p w14:paraId="18835204" w14:textId="77777777" w:rsidR="00FE4DEF" w:rsidRPr="00CD6088" w:rsidRDefault="00FE4DEF" w:rsidP="00D7106B">
            <w:pPr>
              <w:pStyle w:val="NormalWeb"/>
              <w:jc w:val="center"/>
              <w:rPr>
                <w:color w:val="FFFFFF" w:themeColor="background1"/>
              </w:rPr>
            </w:pPr>
            <w:r w:rsidRPr="00CD6088">
              <w:rPr>
                <w:color w:val="FFFFFF" w:themeColor="background1"/>
              </w:rPr>
              <w:t xml:space="preserve">Last reporting </w:t>
            </w:r>
            <w:proofErr w:type="spellStart"/>
            <w:r w:rsidRPr="00CD6088">
              <w:rPr>
                <w:color w:val="FFFFFF" w:themeColor="background1"/>
              </w:rPr>
              <w:t>period</w:t>
            </w:r>
            <w:r w:rsidRPr="00CD6088">
              <w:rPr>
                <w:color w:val="FFFFFF" w:themeColor="background1"/>
                <w:vertAlign w:val="superscript"/>
              </w:rPr>
              <w:t>a</w:t>
            </w:r>
            <w:proofErr w:type="spellEnd"/>
          </w:p>
          <w:p w14:paraId="00EE2FCF" w14:textId="77777777" w:rsidR="00FE4DEF" w:rsidRPr="00CD6088" w:rsidRDefault="00FE4DEF" w:rsidP="00D7106B">
            <w:pPr>
              <w:pStyle w:val="NormalWeb"/>
              <w:jc w:val="center"/>
              <w:rPr>
                <w:color w:val="FFFFFF" w:themeColor="background1"/>
              </w:rPr>
            </w:pPr>
            <w:r w:rsidRPr="00CD6088">
              <w:rPr>
                <w:color w:val="FFFFFF" w:themeColor="background1"/>
              </w:rPr>
              <w:t>3—16 August</w:t>
            </w:r>
          </w:p>
        </w:tc>
        <w:tc>
          <w:tcPr>
            <w:tcW w:w="0" w:type="auto"/>
            <w:tcBorders>
              <w:left w:val="single" w:sz="2" w:space="0" w:color="FFFFFF" w:themeColor="background1"/>
              <w:right w:val="single" w:sz="2" w:space="0" w:color="FFFFFF" w:themeColor="background1"/>
            </w:tcBorders>
            <w:hideMark/>
          </w:tcPr>
          <w:p w14:paraId="4CACCF32" w14:textId="77777777" w:rsidR="00FE4DEF" w:rsidRPr="00CD6088" w:rsidRDefault="00FE4DEF" w:rsidP="00D7106B">
            <w:pPr>
              <w:pStyle w:val="NormalWeb"/>
              <w:jc w:val="center"/>
              <w:rPr>
                <w:color w:val="FFFFFF" w:themeColor="background1"/>
              </w:rPr>
            </w:pPr>
            <w:r w:rsidRPr="00CD6088">
              <w:rPr>
                <w:color w:val="FFFFFF" w:themeColor="background1"/>
              </w:rPr>
              <w:t xml:space="preserve">This reporting </w:t>
            </w:r>
            <w:proofErr w:type="spellStart"/>
            <w:r w:rsidRPr="00CD6088">
              <w:rPr>
                <w:color w:val="FFFFFF" w:themeColor="background1"/>
              </w:rPr>
              <w:t>period</w:t>
            </w:r>
            <w:r w:rsidRPr="00CD6088">
              <w:rPr>
                <w:color w:val="FFFFFF" w:themeColor="background1"/>
                <w:vertAlign w:val="superscript"/>
              </w:rPr>
              <w:t>a</w:t>
            </w:r>
            <w:proofErr w:type="spellEnd"/>
          </w:p>
          <w:p w14:paraId="1C959772" w14:textId="77777777" w:rsidR="00FE4DEF" w:rsidRPr="00CD6088" w:rsidRDefault="00FE4DEF" w:rsidP="00D7106B">
            <w:pPr>
              <w:pStyle w:val="NormalWeb"/>
              <w:jc w:val="center"/>
              <w:rPr>
                <w:color w:val="FFFFFF" w:themeColor="background1"/>
              </w:rPr>
            </w:pPr>
            <w:r w:rsidRPr="00CD6088">
              <w:rPr>
                <w:color w:val="FFFFFF" w:themeColor="background1"/>
              </w:rPr>
              <w:t>17—30 August</w:t>
            </w:r>
          </w:p>
        </w:tc>
        <w:tc>
          <w:tcPr>
            <w:tcW w:w="3529" w:type="dxa"/>
            <w:tcBorders>
              <w:left w:val="single" w:sz="2" w:space="0" w:color="FFFFFF" w:themeColor="background1"/>
            </w:tcBorders>
            <w:hideMark/>
          </w:tcPr>
          <w:p w14:paraId="31DFAD08" w14:textId="77777777" w:rsidR="00FE4DEF" w:rsidRPr="00CD6088" w:rsidRDefault="00FE4DEF" w:rsidP="00D7106B">
            <w:pPr>
              <w:pStyle w:val="NormalWeb"/>
              <w:jc w:val="center"/>
              <w:rPr>
                <w:color w:val="FFFFFF" w:themeColor="background1"/>
              </w:rPr>
            </w:pPr>
            <w:proofErr w:type="spellStart"/>
            <w:r w:rsidRPr="00CD6088">
              <w:rPr>
                <w:color w:val="FFFFFF" w:themeColor="background1"/>
              </w:rPr>
              <w:t>Cumulative</w:t>
            </w:r>
            <w:r w:rsidRPr="00CD6088">
              <w:rPr>
                <w:color w:val="FFFFFF" w:themeColor="background1"/>
                <w:vertAlign w:val="superscript"/>
              </w:rPr>
              <w:t>b</w:t>
            </w:r>
            <w:proofErr w:type="spellEnd"/>
          </w:p>
          <w:p w14:paraId="6CFDE3B8" w14:textId="77777777" w:rsidR="00FE4DEF" w:rsidRPr="00CD6088" w:rsidRDefault="00FE4DEF" w:rsidP="00D7106B">
            <w:pPr>
              <w:pStyle w:val="NormalWeb"/>
              <w:jc w:val="center"/>
              <w:rPr>
                <w:color w:val="FFFFFF" w:themeColor="background1"/>
              </w:rPr>
            </w:pPr>
            <w:r w:rsidRPr="00CD6088">
              <w:rPr>
                <w:color w:val="FFFFFF" w:themeColor="background1"/>
              </w:rPr>
              <w:t>As at 30 August 2020</w:t>
            </w:r>
          </w:p>
        </w:tc>
      </w:tr>
      <w:tr w:rsidR="00FE4DEF" w14:paraId="36F53B19" w14:textId="77777777" w:rsidTr="00F65B35">
        <w:tc>
          <w:tcPr>
            <w:tcW w:w="0" w:type="auto"/>
            <w:hideMark/>
          </w:tcPr>
          <w:p w14:paraId="5EDFC7DD" w14:textId="77777777" w:rsidR="00FE4DEF" w:rsidRDefault="00FE4DEF">
            <w:pPr>
              <w:pStyle w:val="NormalWeb"/>
            </w:pPr>
            <w:r>
              <w:t>Notifications</w:t>
            </w:r>
          </w:p>
        </w:tc>
        <w:tc>
          <w:tcPr>
            <w:tcW w:w="0" w:type="auto"/>
            <w:hideMark/>
          </w:tcPr>
          <w:p w14:paraId="4A035ABA" w14:textId="77777777" w:rsidR="00FE4DEF" w:rsidRDefault="00FE4DEF" w:rsidP="00D7106B">
            <w:pPr>
              <w:pStyle w:val="NormalWeb"/>
              <w:jc w:val="center"/>
            </w:pPr>
            <w:r>
              <w:t>4,501</w:t>
            </w:r>
          </w:p>
        </w:tc>
        <w:tc>
          <w:tcPr>
            <w:tcW w:w="0" w:type="auto"/>
            <w:hideMark/>
          </w:tcPr>
          <w:p w14:paraId="7DBC6B8E" w14:textId="77777777" w:rsidR="00FE4DEF" w:rsidRDefault="00FE4DEF" w:rsidP="00D7106B">
            <w:pPr>
              <w:pStyle w:val="NormalWeb"/>
              <w:jc w:val="center"/>
            </w:pPr>
            <w:r>
              <w:t>1,751</w:t>
            </w:r>
          </w:p>
        </w:tc>
        <w:tc>
          <w:tcPr>
            <w:tcW w:w="3529" w:type="dxa"/>
            <w:hideMark/>
          </w:tcPr>
          <w:p w14:paraId="40772C8F" w14:textId="77777777" w:rsidR="00FE4DEF" w:rsidRDefault="00FE4DEF" w:rsidP="00D7106B">
            <w:pPr>
              <w:pStyle w:val="NormalWeb"/>
              <w:jc w:val="center"/>
            </w:pPr>
            <w:r>
              <w:t>25,686</w:t>
            </w:r>
          </w:p>
        </w:tc>
      </w:tr>
      <w:tr w:rsidR="00FE4DEF" w14:paraId="597027C1" w14:textId="77777777" w:rsidTr="00F65B35">
        <w:trPr>
          <w:cnfStyle w:val="000000010000" w:firstRow="0" w:lastRow="0" w:firstColumn="0" w:lastColumn="0" w:oddVBand="0" w:evenVBand="0" w:oddHBand="0" w:evenHBand="1" w:firstRowFirstColumn="0" w:firstRowLastColumn="0" w:lastRowFirstColumn="0" w:lastRowLastColumn="0"/>
        </w:trPr>
        <w:tc>
          <w:tcPr>
            <w:tcW w:w="0" w:type="auto"/>
            <w:hideMark/>
          </w:tcPr>
          <w:p w14:paraId="78E8FD0E" w14:textId="77777777" w:rsidR="00FE4DEF" w:rsidRDefault="00FE4DEF">
            <w:pPr>
              <w:pStyle w:val="NormalWeb"/>
            </w:pPr>
            <w:r>
              <w:t>Deaths</w:t>
            </w:r>
          </w:p>
        </w:tc>
        <w:tc>
          <w:tcPr>
            <w:tcW w:w="0" w:type="auto"/>
            <w:hideMark/>
          </w:tcPr>
          <w:p w14:paraId="1D40ED29" w14:textId="77777777" w:rsidR="00FE4DEF" w:rsidRDefault="00FE4DEF" w:rsidP="00D7106B">
            <w:pPr>
              <w:pStyle w:val="NormalWeb"/>
              <w:jc w:val="center"/>
            </w:pPr>
            <w:r>
              <w:t>136</w:t>
            </w:r>
          </w:p>
        </w:tc>
        <w:tc>
          <w:tcPr>
            <w:tcW w:w="0" w:type="auto"/>
            <w:hideMark/>
          </w:tcPr>
          <w:p w14:paraId="5ED70719" w14:textId="77777777" w:rsidR="00FE4DEF" w:rsidRDefault="00FE4DEF" w:rsidP="00D7106B">
            <w:pPr>
              <w:pStyle w:val="NormalWeb"/>
              <w:jc w:val="center"/>
            </w:pPr>
            <w:r>
              <w:t>26</w:t>
            </w:r>
          </w:p>
        </w:tc>
        <w:tc>
          <w:tcPr>
            <w:tcW w:w="3529" w:type="dxa"/>
            <w:hideMark/>
          </w:tcPr>
          <w:p w14:paraId="7A3835AD" w14:textId="77777777" w:rsidR="00FE4DEF" w:rsidRDefault="00FE4DEF" w:rsidP="00D7106B">
            <w:pPr>
              <w:pStyle w:val="NormalWeb"/>
              <w:jc w:val="center"/>
            </w:pPr>
            <w:r>
              <w:t>577</w:t>
            </w:r>
          </w:p>
        </w:tc>
      </w:tr>
    </w:tbl>
    <w:p w14:paraId="3EB20555" w14:textId="77777777" w:rsidR="00FE4DEF" w:rsidRDefault="00FE4DEF" w:rsidP="00B21656">
      <w:pPr>
        <w:pStyle w:val="CDIfootnotes"/>
      </w:pPr>
      <w:proofErr w:type="gramStart"/>
      <w:r>
        <w:t>a</w:t>
      </w:r>
      <w:proofErr w:type="gramEnd"/>
      <w:r>
        <w:tab/>
        <w:t>Based on diagnosis date.</w:t>
      </w:r>
    </w:p>
    <w:p w14:paraId="4E836F23" w14:textId="77777777" w:rsidR="00FE4DEF" w:rsidRDefault="00FE4DEF" w:rsidP="00B21656">
      <w:pPr>
        <w:pStyle w:val="CDIfootnotes"/>
      </w:pPr>
      <w:proofErr w:type="gramStart"/>
      <w:r>
        <w:t>b</w:t>
      </w:r>
      <w:proofErr w:type="gramEnd"/>
      <w:r>
        <w:tab/>
        <w:t>Based on notification date.</w:t>
      </w:r>
    </w:p>
    <w:p w14:paraId="234B62B7" w14:textId="77777777" w:rsidR="00FE4DEF" w:rsidRDefault="00FE4DEF">
      <w:pPr>
        <w:pStyle w:val="Heading1"/>
        <w:rPr>
          <w:rFonts w:eastAsia="Times New Roman"/>
        </w:rPr>
      </w:pPr>
      <w:r>
        <w:rPr>
          <w:rFonts w:eastAsia="Times New Roman"/>
        </w:rPr>
        <w:t xml:space="preserve">Summary (17—30 August) </w:t>
      </w:r>
    </w:p>
    <w:p w14:paraId="1E16C785"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The number of new cases reported nationally this fortnight was 1,751, a 61% decrease from the previous fortnight (4,501). On average this represented 125 cases diagnosed each day over the reporting period, a decrease from 322 cases per day over the previous reporting period. </w:t>
      </w:r>
    </w:p>
    <w:p w14:paraId="6AF10644"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94% (1,640) of all cases were reported in Victoria, with a smaller number of cases reported from New South Wales (86), Queensland (19), Western Australia (5) and South Australia (1). </w:t>
      </w:r>
    </w:p>
    <w:p w14:paraId="3B8A4D73"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In Victoria, the majority of cases (1,528; 93%) were locally acquired, with a further 112 (7%) under investigation at the time of analysis, but likely also to be locally acquired. </w:t>
      </w:r>
    </w:p>
    <w:p w14:paraId="43C9FA3C"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Of the remaining 111 cases reported, 22 (20%) were overseas acquired; 82 (74%) were locally acquired, predominantly in NSW, and 7 (6%) were reported as under investigation. </w:t>
      </w:r>
    </w:p>
    <w:p w14:paraId="3691B83F"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The continued decrease in new cases observed this fortnight in Victoria is likely associated with the enhanced public health measures that are currently in place in Victoria. Locally-acquired cases which were predominantly associated with several interconnected clusters continued to be reported in NSW. In Qld a cluster of cases associated with a youth detention centre was identified. </w:t>
      </w:r>
    </w:p>
    <w:p w14:paraId="0F562AAC" w14:textId="77777777" w:rsidR="00FE4DEF" w:rsidRPr="00B21656" w:rsidRDefault="00FE4DEF" w:rsidP="00B21656">
      <w:pPr>
        <w:pStyle w:val="ListParagraph"/>
        <w:numPr>
          <w:ilvl w:val="0"/>
          <w:numId w:val="11"/>
        </w:numPr>
        <w:rPr>
          <w:rFonts w:eastAsia="Times New Roman"/>
        </w:rPr>
      </w:pPr>
      <w:r w:rsidRPr="00B21656">
        <w:rPr>
          <w:rFonts w:eastAsia="Times New Roman"/>
        </w:rPr>
        <w:lastRenderedPageBreak/>
        <w:t xml:space="preserve">A total of 26 deaths </w:t>
      </w:r>
      <w:r w:rsidR="002822AD">
        <w:rPr>
          <w:rFonts w:eastAsia="Times New Roman"/>
        </w:rPr>
        <w:t>was</w:t>
      </w:r>
      <w:r w:rsidR="002822AD" w:rsidRPr="00B21656">
        <w:rPr>
          <w:rFonts w:eastAsia="Times New Roman"/>
        </w:rPr>
        <w:t xml:space="preserve"> </w:t>
      </w:r>
      <w:r w:rsidRPr="00B21656">
        <w:rPr>
          <w:rFonts w:eastAsia="Times New Roman"/>
        </w:rPr>
        <w:t xml:space="preserve">reported from cases diagnosed in this reporting period, all from Victoria and aged 75 years or older. </w:t>
      </w:r>
    </w:p>
    <w:p w14:paraId="77AFBD88" w14:textId="77777777" w:rsidR="00FE4DEF" w:rsidRPr="00B21656" w:rsidRDefault="00FE4DEF" w:rsidP="00B21656">
      <w:pPr>
        <w:pStyle w:val="ListParagraph"/>
        <w:numPr>
          <w:ilvl w:val="0"/>
          <w:numId w:val="11"/>
        </w:numPr>
        <w:rPr>
          <w:rFonts w:eastAsia="Times New Roman"/>
        </w:rPr>
      </w:pPr>
      <w:r w:rsidRPr="00B21656">
        <w:rPr>
          <w:rFonts w:eastAsia="Times New Roman"/>
        </w:rPr>
        <w:t xml:space="preserve">Testing rates remain high across all jurisdictions, with an overall positivity rate for the reporting period of 0.27%. Victoria reported a positivity rate of 0.90% for this reporting period; in all other jurisdictions the positivity rate was 0.03% or lower. </w:t>
      </w:r>
    </w:p>
    <w:p w14:paraId="2C06FB53" w14:textId="77777777" w:rsidR="00175281" w:rsidRDefault="00FE4DEF">
      <w:pPr>
        <w:rPr>
          <w:b/>
        </w:rPr>
      </w:pPr>
      <w:r>
        <w:t>Keywords: SARS-CoV-2; novel coronavirus; 2019-nCoV; coronavirus disease 2019; COVID-19; acute respiratory disease; epidemiology; Australia</w:t>
      </w:r>
      <w:r w:rsidR="00175281">
        <w:br w:type="page"/>
      </w:r>
    </w:p>
    <w:p w14:paraId="22E46ECE" w14:textId="77777777" w:rsidR="00FE4DEF" w:rsidRDefault="00FE4DEF" w:rsidP="00B21656">
      <w:pPr>
        <w:pStyle w:val="CDIFigures"/>
      </w:pPr>
      <w:r>
        <w:lastRenderedPageBreak/>
        <w:t xml:space="preserve">Figure 1. New and cumulative COVID-19 notifications by diagnosis week </w:t>
      </w:r>
      <w:r w:rsidR="00CD7380" w:rsidRPr="00CD7380">
        <w:t>ending 30 August 2020</w:t>
      </w:r>
      <w:proofErr w:type="gramStart"/>
      <w:r w:rsidR="002822AD">
        <w:t>,</w:t>
      </w:r>
      <w:r w:rsidRPr="00175281">
        <w:rPr>
          <w:vertAlign w:val="superscript"/>
        </w:rPr>
        <w:t>a</w:t>
      </w:r>
      <w:proofErr w:type="gramEnd"/>
      <w:r w:rsidR="00CD7380">
        <w:t xml:space="preserve"> Australia</w:t>
      </w:r>
    </w:p>
    <w:p w14:paraId="307B8B89" w14:textId="77777777" w:rsidR="00FE4DEF" w:rsidRDefault="00FE4DEF">
      <w:pPr>
        <w:pStyle w:val="NormalWeb"/>
      </w:pPr>
      <w:r>
        <w:rPr>
          <w:noProof/>
        </w:rPr>
        <w:drawing>
          <wp:inline distT="0" distB="0" distL="0" distR="0" wp14:anchorId="43F0BECE" wp14:editId="549DDEC2">
            <wp:extent cx="6646320" cy="2719552"/>
            <wp:effectExtent l="0" t="0" r="2540" b="5080"/>
            <wp:docPr id="18" name="Picture 18" descr="Bar chart showing COVID-19 notifications by date of illness onset, for the 18,367 Australian cases. Notifications for the cases shown have onset dates ranging from 13 January 2020 to 30 August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2020\63-COVID-19 report 24\MS-Word output\figures_and_tables-web-resources\image\f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5662" cy="2723375"/>
                    </a:xfrm>
                    <a:prstGeom prst="rect">
                      <a:avLst/>
                    </a:prstGeom>
                  </pic:spPr>
                </pic:pic>
              </a:graphicData>
            </a:graphic>
          </wp:inline>
        </w:drawing>
      </w:r>
    </w:p>
    <w:p w14:paraId="0EA4D12D" w14:textId="77777777" w:rsidR="00FE4DEF" w:rsidRDefault="00FE4DEF" w:rsidP="00B21656">
      <w:pPr>
        <w:pStyle w:val="CDIfootnotes"/>
      </w:pPr>
      <w:proofErr w:type="spellStart"/>
      <w:proofErr w:type="gramStart"/>
      <w:r>
        <w:t>a</w:t>
      </w:r>
      <w:proofErr w:type="spellEnd"/>
      <w:proofErr w:type="gramEnd"/>
      <w:r>
        <w:tab/>
        <w:t xml:space="preserve">Illnesses that began within 7 days prior to 30 August 2020 may not yet be reported and interpretation of trends during this period should be undertaken with caution. </w:t>
      </w:r>
    </w:p>
    <w:p w14:paraId="63F96CFC" w14:textId="77777777" w:rsidR="00FE4DEF" w:rsidRPr="00B21656" w:rsidRDefault="00FE4DEF" w:rsidP="00B21656">
      <w:pPr>
        <w:pStyle w:val="Heading1"/>
      </w:pPr>
      <w:r w:rsidRPr="00B21656">
        <w:t xml:space="preserve">Australian cases: descriptive epidemiology </w:t>
      </w:r>
    </w:p>
    <w:p w14:paraId="72D6DDE1" w14:textId="77777777" w:rsidR="00FE4DEF" w:rsidRPr="00B21656" w:rsidRDefault="00FE4DEF" w:rsidP="00B21656">
      <w:pPr>
        <w:pStyle w:val="Heading2"/>
      </w:pPr>
      <w:r w:rsidRPr="00B21656">
        <w:t xml:space="preserve">Transmission trends </w:t>
      </w:r>
    </w:p>
    <w:p w14:paraId="380AF4E1" w14:textId="77777777" w:rsidR="00FE4DEF" w:rsidRDefault="00FE4DEF" w:rsidP="00B21656">
      <w:r>
        <w:t xml:space="preserve">Since the first case of COVID-19 was identified in Australia, all states and territories have experienced COVID-19 cases, with some jurisdictions experiencing higher numbers and more community-associated transmission. These differences arise from factors including state demographics, population size, and patterns of overseas arrivals. </w:t>
      </w:r>
    </w:p>
    <w:p w14:paraId="17612432" w14:textId="77777777" w:rsidR="00FE4DEF" w:rsidRDefault="00FE4DEF" w:rsidP="00B21656">
      <w:r>
        <w:t>As at 30 August 2020 there were 25,686 COVID-19 cases, including 577 deaths, reported nationally with two distinct peaks in March and July (Figure 2). During this reporting period, there were 1,751 cases, including 26 deaths recorded. On average, 125 cases were diagnosed each day over the reporting period, a decrease from 322 cases per day over the previous reporting period. The majority of the recently-diagnosed cases were from Victoria (1,640; 94%), followed by New South Wales (86; 5%). A small number of cases were reported in Queensland (19), Western Australia (5), and South Australia (1). No new cases were reported from Tasmania, the Northern Territory or the Australian Capital Territory. Most cases in this period were reported to reside in major metropolitan areas (Figure 3 and Figure B.</w:t>
      </w:r>
      <w:r w:rsidR="008B5510">
        <w:t>2</w:t>
      </w:r>
      <w:r>
        <w:t>).</w:t>
      </w:r>
    </w:p>
    <w:p w14:paraId="04B65E72" w14:textId="77777777" w:rsidR="0058240F" w:rsidRDefault="0058240F">
      <w:pPr>
        <w:rPr>
          <w:b/>
        </w:rPr>
      </w:pPr>
      <w:r>
        <w:br w:type="page"/>
      </w:r>
    </w:p>
    <w:p w14:paraId="6351EB71" w14:textId="77777777" w:rsidR="00FE4DEF" w:rsidRDefault="00FE4DEF" w:rsidP="00B21656">
      <w:pPr>
        <w:pStyle w:val="CDIFigures"/>
      </w:pPr>
      <w:r>
        <w:lastRenderedPageBreak/>
        <w:t>Figure 2. COVID-19 notifications, Victoria and all other jurisdictions, by week and source of acquisition, as at 30 August 2020</w:t>
      </w:r>
    </w:p>
    <w:p w14:paraId="58C23873" w14:textId="77777777" w:rsidR="00FE4DEF" w:rsidRDefault="00FE4DEF">
      <w:pPr>
        <w:pStyle w:val="NormalWeb"/>
      </w:pPr>
      <w:r>
        <w:rPr>
          <w:noProof/>
        </w:rPr>
        <w:drawing>
          <wp:inline distT="0" distB="0" distL="0" distR="0" wp14:anchorId="4ACF651C" wp14:editId="4777AB31">
            <wp:extent cx="6629400" cy="5978682"/>
            <wp:effectExtent l="0" t="0" r="0" b="3175"/>
            <wp:docPr id="2" name="Picture 2" descr="Bar charts of new case notifications in Victoria, and in the set of other jurisdictions, by week of illness diagnosis and source of acquisition. It is apparent that all jurisdictions saw a peak in notifications around 20 March 2020, with a majority of cases during this time overseas acquired. In contrast, almost all cases after 1 June have been reported in Victoria as locally acquired, while numbers of recent notifications elsewhere are much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2020\63-COVID-19 report 24\MS-Word output\figures_and_tables-web-resources\image\f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3545" cy="5982420"/>
                    </a:xfrm>
                    <a:prstGeom prst="rect">
                      <a:avLst/>
                    </a:prstGeom>
                  </pic:spPr>
                </pic:pic>
              </a:graphicData>
            </a:graphic>
          </wp:inline>
        </w:drawing>
      </w:r>
    </w:p>
    <w:p w14:paraId="2DFC6AEC" w14:textId="77777777" w:rsidR="0058240F" w:rsidRDefault="0058240F" w:rsidP="0058240F">
      <w:pPr>
        <w:pStyle w:val="CDIFigures"/>
        <w:sectPr w:rsidR="0058240F"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14:paraId="479E9CBA" w14:textId="77777777" w:rsidR="00FE4DEF" w:rsidRDefault="00FE4DEF" w:rsidP="0058240F">
      <w:pPr>
        <w:pStyle w:val="CDIFigures"/>
      </w:pPr>
      <w:r>
        <w:lastRenderedPageBreak/>
        <w:t>Figure 3. Heat map showing COVID-19 locally-acquired case notifications by place of residence, Australia, 17 to 30 August 2020</w:t>
      </w:r>
      <w:r w:rsidRPr="0058240F">
        <w:rPr>
          <w:vertAlign w:val="superscript"/>
        </w:rPr>
        <w:t>a</w:t>
      </w:r>
    </w:p>
    <w:p w14:paraId="2AEF5FDE" w14:textId="77777777" w:rsidR="00FE4DEF" w:rsidRDefault="00FE4DEF" w:rsidP="0058240F">
      <w:pPr>
        <w:pStyle w:val="NormalWeb"/>
        <w:jc w:val="center"/>
      </w:pPr>
      <w:r>
        <w:rPr>
          <w:noProof/>
        </w:rPr>
        <w:drawing>
          <wp:inline distT="0" distB="0" distL="0" distR="0" wp14:anchorId="2DC429E2" wp14:editId="54EF5429">
            <wp:extent cx="7426981" cy="5250546"/>
            <wp:effectExtent l="0" t="0" r="2540" b="7620"/>
            <wp:docPr id="3" name="Picture 3" descr="Heat map showing Australia with inserts of capital cities and the COVID-19 cases in those area by place of residence using statistical area level 3 (SA3) to 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2020\63-COVID-19 report 24\MS-Word output\figures_and_tables-web-resources\image\f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431778" cy="5253938"/>
                    </a:xfrm>
                    <a:prstGeom prst="rect">
                      <a:avLst/>
                    </a:prstGeom>
                  </pic:spPr>
                </pic:pic>
              </a:graphicData>
            </a:graphic>
          </wp:inline>
        </w:drawing>
      </w:r>
    </w:p>
    <w:p w14:paraId="3C3D8863" w14:textId="77777777" w:rsidR="0064000F" w:rsidRDefault="00A82564" w:rsidP="0064000F">
      <w:pPr>
        <w:pStyle w:val="CDIfootnotes"/>
      </w:pPr>
      <w:proofErr w:type="gramStart"/>
      <w:r>
        <w:t>a</w:t>
      </w:r>
      <w:proofErr w:type="gramEnd"/>
      <w:r>
        <w:tab/>
      </w:r>
      <w:r w:rsidR="00FE4DEF">
        <w:t>Source: NNDSS</w:t>
      </w:r>
    </w:p>
    <w:p w14:paraId="1FA61569" w14:textId="77777777" w:rsidR="0058240F" w:rsidRDefault="00FE4DEF">
      <w:pPr>
        <w:pStyle w:val="NormalWeb"/>
        <w:sectPr w:rsidR="0058240F" w:rsidSect="0058240F">
          <w:footnotePr>
            <w:numFmt w:val="lowerRoman"/>
          </w:footnotePr>
          <w:pgSz w:w="16838" w:h="11906" w:orient="landscape"/>
          <w:pgMar w:top="720" w:right="720" w:bottom="720" w:left="1134" w:header="709" w:footer="284" w:gutter="0"/>
          <w:cols w:space="708"/>
          <w:titlePg/>
          <w:docGrid w:linePitch="360"/>
        </w:sectPr>
      </w:pPr>
      <w:r>
        <w:t xml:space="preserve"> </w:t>
      </w:r>
    </w:p>
    <w:p w14:paraId="41900FA5" w14:textId="77777777" w:rsidR="00FE4DEF" w:rsidRDefault="00FE4DEF">
      <w:pPr>
        <w:pStyle w:val="NormalWeb"/>
      </w:pPr>
    </w:p>
    <w:p w14:paraId="4EB5171D" w14:textId="77777777" w:rsidR="00FE4DEF" w:rsidRDefault="00FE4DEF" w:rsidP="00B21656">
      <w:r>
        <w:t xml:space="preserve">While there has been a continued decline in case numbers from Victoria, there is still a degree of ongoing community transmission. During this reporting period locally-acquired cases linked to interconnected clusters continued to be reported in NSW, and in Qld a cluster of cases associated with a youth detention centre was identified. </w:t>
      </w:r>
    </w:p>
    <w:p w14:paraId="14449C23" w14:textId="77777777" w:rsidR="00FE4DEF" w:rsidRPr="00B21656" w:rsidRDefault="00FE4DEF" w:rsidP="00B21656">
      <w:pPr>
        <w:pStyle w:val="Heading2"/>
      </w:pPr>
      <w:r w:rsidRPr="00B21656">
        <w:t xml:space="preserve">Source of acquisition </w:t>
      </w:r>
    </w:p>
    <w:p w14:paraId="2726B412" w14:textId="77777777" w:rsidR="00FE4DEF" w:rsidRDefault="00FE4DEF" w:rsidP="00B21656">
      <w:r>
        <w:t>For this reporting period, 92% of all cases were reported as locally acquired. Of these locally-acquired cases the source of acquisition for 15% (247/1,751) of cases could not be identified, which is consistent with the previous reporting period (15%; 566/3,767). In total, 7% (119) of all cases remain under investigation and less than 2% were reported as overseas acquired (Table 1).</w:t>
      </w:r>
    </w:p>
    <w:p w14:paraId="12D6E9B6" w14:textId="77777777" w:rsidR="00FE4DEF" w:rsidRDefault="00FE4DEF" w:rsidP="00B21656">
      <w:pPr>
        <w:pStyle w:val="CDIFigures"/>
      </w:pPr>
      <w:r>
        <w:t xml:space="preserve">Table 1. COVID-19 notifications by jurisdiction and source of acquisition, 17—30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1640/1751) have been reported in Vic, where most cases are locally acquired and around 10% of cases remain under investigation. NSW reported 86 new COVID-19 notifications, 74% of which are locally acquired. Qld reported a total of 19 cases, all locally acquired, while WA reported 5 cases, 4 overseas acquired and 1 case under investigation. No cases were reported from Tas, NT or ACT.&#10;"/>
      </w:tblPr>
      <w:tblGrid>
        <w:gridCol w:w="2480"/>
        <w:gridCol w:w="806"/>
        <w:gridCol w:w="806"/>
        <w:gridCol w:w="807"/>
        <w:gridCol w:w="806"/>
        <w:gridCol w:w="806"/>
        <w:gridCol w:w="807"/>
        <w:gridCol w:w="806"/>
        <w:gridCol w:w="807"/>
        <w:gridCol w:w="1535"/>
      </w:tblGrid>
      <w:tr w:rsidR="002F0595" w:rsidRPr="002F0595" w14:paraId="374D2CBB" w14:textId="77777777" w:rsidTr="0064000F">
        <w:trPr>
          <w:cnfStyle w:val="100000000000" w:firstRow="1" w:lastRow="0" w:firstColumn="0" w:lastColumn="0" w:oddVBand="0" w:evenVBand="0" w:oddHBand="0" w:evenHBand="0" w:firstRowFirstColumn="0" w:firstRowLastColumn="0" w:lastRowFirstColumn="0" w:lastRowLastColumn="0"/>
          <w:tblHeader/>
        </w:trPr>
        <w:tc>
          <w:tcPr>
            <w:tcW w:w="2480" w:type="dxa"/>
            <w:hideMark/>
          </w:tcPr>
          <w:p w14:paraId="59D0B66B" w14:textId="77777777" w:rsidR="00FE4DEF" w:rsidRPr="002F0595" w:rsidRDefault="00FE4DEF">
            <w:pPr>
              <w:pStyle w:val="NormalWeb"/>
              <w:rPr>
                <w:color w:val="FFFFFF" w:themeColor="background1"/>
              </w:rPr>
            </w:pPr>
            <w:r w:rsidRPr="002F0595">
              <w:rPr>
                <w:color w:val="FFFFFF" w:themeColor="background1"/>
              </w:rPr>
              <w:t>Source</w:t>
            </w:r>
          </w:p>
        </w:tc>
        <w:tc>
          <w:tcPr>
            <w:tcW w:w="806" w:type="dxa"/>
            <w:hideMark/>
          </w:tcPr>
          <w:p w14:paraId="36F315C4" w14:textId="77777777" w:rsidR="00FE4DEF" w:rsidRPr="002F0595" w:rsidRDefault="00FE4DEF" w:rsidP="002F0595">
            <w:pPr>
              <w:pStyle w:val="NormalWeb"/>
              <w:jc w:val="center"/>
              <w:rPr>
                <w:color w:val="FFFFFF" w:themeColor="background1"/>
              </w:rPr>
            </w:pPr>
            <w:r w:rsidRPr="002F0595">
              <w:rPr>
                <w:color w:val="FFFFFF" w:themeColor="background1"/>
              </w:rPr>
              <w:t>NSW</w:t>
            </w:r>
          </w:p>
        </w:tc>
        <w:tc>
          <w:tcPr>
            <w:tcW w:w="806" w:type="dxa"/>
            <w:hideMark/>
          </w:tcPr>
          <w:p w14:paraId="2696D373" w14:textId="77777777" w:rsidR="00FE4DEF" w:rsidRPr="002F0595" w:rsidRDefault="00FE4DEF" w:rsidP="002F0595">
            <w:pPr>
              <w:pStyle w:val="NormalWeb"/>
              <w:jc w:val="center"/>
              <w:rPr>
                <w:color w:val="FFFFFF" w:themeColor="background1"/>
              </w:rPr>
            </w:pPr>
            <w:r w:rsidRPr="002F0595">
              <w:rPr>
                <w:color w:val="FFFFFF" w:themeColor="background1"/>
              </w:rPr>
              <w:t>Vic</w:t>
            </w:r>
          </w:p>
        </w:tc>
        <w:tc>
          <w:tcPr>
            <w:tcW w:w="807" w:type="dxa"/>
            <w:hideMark/>
          </w:tcPr>
          <w:p w14:paraId="033AB50D" w14:textId="77777777" w:rsidR="00FE4DEF" w:rsidRPr="002F0595" w:rsidRDefault="00FE4DEF" w:rsidP="002F0595">
            <w:pPr>
              <w:pStyle w:val="NormalWeb"/>
              <w:jc w:val="center"/>
              <w:rPr>
                <w:color w:val="FFFFFF" w:themeColor="background1"/>
              </w:rPr>
            </w:pPr>
            <w:r w:rsidRPr="002F0595">
              <w:rPr>
                <w:color w:val="FFFFFF" w:themeColor="background1"/>
              </w:rPr>
              <w:t>Qld</w:t>
            </w:r>
          </w:p>
        </w:tc>
        <w:tc>
          <w:tcPr>
            <w:tcW w:w="806" w:type="dxa"/>
            <w:hideMark/>
          </w:tcPr>
          <w:p w14:paraId="7E407821" w14:textId="77777777" w:rsidR="00FE4DEF" w:rsidRPr="002F0595" w:rsidRDefault="00FE4DEF" w:rsidP="002F0595">
            <w:pPr>
              <w:pStyle w:val="NormalWeb"/>
              <w:jc w:val="center"/>
              <w:rPr>
                <w:color w:val="FFFFFF" w:themeColor="background1"/>
              </w:rPr>
            </w:pPr>
            <w:r w:rsidRPr="002F0595">
              <w:rPr>
                <w:color w:val="FFFFFF" w:themeColor="background1"/>
              </w:rPr>
              <w:t>WA</w:t>
            </w:r>
          </w:p>
        </w:tc>
        <w:tc>
          <w:tcPr>
            <w:tcW w:w="806" w:type="dxa"/>
            <w:hideMark/>
          </w:tcPr>
          <w:p w14:paraId="0A4D83FA" w14:textId="77777777" w:rsidR="00FE4DEF" w:rsidRPr="002F0595" w:rsidRDefault="00FE4DEF" w:rsidP="002F0595">
            <w:pPr>
              <w:pStyle w:val="NormalWeb"/>
              <w:jc w:val="center"/>
              <w:rPr>
                <w:color w:val="FFFFFF" w:themeColor="background1"/>
              </w:rPr>
            </w:pPr>
            <w:r w:rsidRPr="002F0595">
              <w:rPr>
                <w:color w:val="FFFFFF" w:themeColor="background1"/>
              </w:rPr>
              <w:t>SA</w:t>
            </w:r>
          </w:p>
        </w:tc>
        <w:tc>
          <w:tcPr>
            <w:tcW w:w="807" w:type="dxa"/>
            <w:hideMark/>
          </w:tcPr>
          <w:p w14:paraId="5ACCCD49" w14:textId="77777777" w:rsidR="00FE4DEF" w:rsidRPr="002F0595" w:rsidRDefault="00FE4DEF" w:rsidP="002F0595">
            <w:pPr>
              <w:pStyle w:val="NormalWeb"/>
              <w:jc w:val="center"/>
              <w:rPr>
                <w:color w:val="FFFFFF" w:themeColor="background1"/>
              </w:rPr>
            </w:pPr>
            <w:r w:rsidRPr="002F0595">
              <w:rPr>
                <w:color w:val="FFFFFF" w:themeColor="background1"/>
              </w:rPr>
              <w:t>Tas</w:t>
            </w:r>
          </w:p>
        </w:tc>
        <w:tc>
          <w:tcPr>
            <w:tcW w:w="806" w:type="dxa"/>
            <w:hideMark/>
          </w:tcPr>
          <w:p w14:paraId="7DEC3D96" w14:textId="77777777" w:rsidR="00FE4DEF" w:rsidRPr="002F0595" w:rsidRDefault="00FE4DEF" w:rsidP="002F0595">
            <w:pPr>
              <w:pStyle w:val="NormalWeb"/>
              <w:jc w:val="center"/>
              <w:rPr>
                <w:color w:val="FFFFFF" w:themeColor="background1"/>
              </w:rPr>
            </w:pPr>
            <w:r w:rsidRPr="002F0595">
              <w:rPr>
                <w:color w:val="FFFFFF" w:themeColor="background1"/>
              </w:rPr>
              <w:t>NT</w:t>
            </w:r>
          </w:p>
        </w:tc>
        <w:tc>
          <w:tcPr>
            <w:tcW w:w="807" w:type="dxa"/>
            <w:hideMark/>
          </w:tcPr>
          <w:p w14:paraId="6B039C0D" w14:textId="77777777" w:rsidR="00FE4DEF" w:rsidRPr="002F0595" w:rsidRDefault="00FE4DEF" w:rsidP="002F0595">
            <w:pPr>
              <w:pStyle w:val="NormalWeb"/>
              <w:jc w:val="center"/>
              <w:rPr>
                <w:color w:val="FFFFFF" w:themeColor="background1"/>
              </w:rPr>
            </w:pPr>
            <w:r w:rsidRPr="002F0595">
              <w:rPr>
                <w:color w:val="FFFFFF" w:themeColor="background1"/>
              </w:rPr>
              <w:t>ACT</w:t>
            </w:r>
          </w:p>
        </w:tc>
        <w:tc>
          <w:tcPr>
            <w:tcW w:w="1535" w:type="dxa"/>
            <w:hideMark/>
          </w:tcPr>
          <w:p w14:paraId="0486829B" w14:textId="77777777" w:rsidR="00FE4DEF" w:rsidRPr="002F0595" w:rsidRDefault="00FE4DEF" w:rsidP="002F0595">
            <w:pPr>
              <w:pStyle w:val="NormalWeb"/>
              <w:jc w:val="center"/>
              <w:rPr>
                <w:color w:val="FFFFFF" w:themeColor="background1"/>
              </w:rPr>
            </w:pPr>
            <w:r w:rsidRPr="002F0595">
              <w:rPr>
                <w:color w:val="FFFFFF" w:themeColor="background1"/>
              </w:rPr>
              <w:t>Australia</w:t>
            </w:r>
          </w:p>
        </w:tc>
      </w:tr>
      <w:tr w:rsidR="00FE4DEF" w14:paraId="1C9B3CB6" w14:textId="77777777" w:rsidTr="002F0595">
        <w:tc>
          <w:tcPr>
            <w:tcW w:w="2480" w:type="dxa"/>
            <w:hideMark/>
          </w:tcPr>
          <w:p w14:paraId="26B9D328" w14:textId="77777777" w:rsidR="00FE4DEF" w:rsidRDefault="00FE4DEF">
            <w:pPr>
              <w:pStyle w:val="NormalWeb"/>
            </w:pPr>
            <w:r>
              <w:t>Overseas</w:t>
            </w:r>
          </w:p>
        </w:tc>
        <w:tc>
          <w:tcPr>
            <w:tcW w:w="806" w:type="dxa"/>
            <w:hideMark/>
          </w:tcPr>
          <w:p w14:paraId="41E67B79" w14:textId="77777777" w:rsidR="00FE4DEF" w:rsidRDefault="00FE4DEF" w:rsidP="002F0595">
            <w:pPr>
              <w:pStyle w:val="NormalWeb"/>
              <w:jc w:val="center"/>
            </w:pPr>
            <w:r>
              <w:t>18</w:t>
            </w:r>
          </w:p>
        </w:tc>
        <w:tc>
          <w:tcPr>
            <w:tcW w:w="806" w:type="dxa"/>
            <w:hideMark/>
          </w:tcPr>
          <w:p w14:paraId="421BB7E9" w14:textId="77777777" w:rsidR="00FE4DEF" w:rsidRDefault="00FE4DEF" w:rsidP="002F0595">
            <w:pPr>
              <w:pStyle w:val="NormalWeb"/>
              <w:jc w:val="center"/>
            </w:pPr>
            <w:r>
              <w:t>0</w:t>
            </w:r>
          </w:p>
        </w:tc>
        <w:tc>
          <w:tcPr>
            <w:tcW w:w="807" w:type="dxa"/>
            <w:hideMark/>
          </w:tcPr>
          <w:p w14:paraId="3C6B2F26" w14:textId="77777777" w:rsidR="00FE4DEF" w:rsidRDefault="00FE4DEF" w:rsidP="002F0595">
            <w:pPr>
              <w:pStyle w:val="NormalWeb"/>
              <w:jc w:val="center"/>
            </w:pPr>
            <w:r>
              <w:t>0</w:t>
            </w:r>
          </w:p>
        </w:tc>
        <w:tc>
          <w:tcPr>
            <w:tcW w:w="806" w:type="dxa"/>
            <w:hideMark/>
          </w:tcPr>
          <w:p w14:paraId="76FCA5E9" w14:textId="77777777" w:rsidR="00FE4DEF" w:rsidRDefault="00FE4DEF" w:rsidP="002F0595">
            <w:pPr>
              <w:pStyle w:val="NormalWeb"/>
              <w:jc w:val="center"/>
            </w:pPr>
            <w:r>
              <w:t>4</w:t>
            </w:r>
          </w:p>
        </w:tc>
        <w:tc>
          <w:tcPr>
            <w:tcW w:w="806" w:type="dxa"/>
            <w:hideMark/>
          </w:tcPr>
          <w:p w14:paraId="5575C511" w14:textId="77777777" w:rsidR="00FE4DEF" w:rsidRDefault="00FE4DEF" w:rsidP="002F0595">
            <w:pPr>
              <w:pStyle w:val="NormalWeb"/>
              <w:jc w:val="center"/>
            </w:pPr>
            <w:r>
              <w:t>0</w:t>
            </w:r>
          </w:p>
        </w:tc>
        <w:tc>
          <w:tcPr>
            <w:tcW w:w="807" w:type="dxa"/>
            <w:hideMark/>
          </w:tcPr>
          <w:p w14:paraId="22160CE5" w14:textId="77777777" w:rsidR="00FE4DEF" w:rsidRDefault="00FE4DEF" w:rsidP="002F0595">
            <w:pPr>
              <w:pStyle w:val="NormalWeb"/>
              <w:jc w:val="center"/>
            </w:pPr>
            <w:r>
              <w:t>0</w:t>
            </w:r>
          </w:p>
        </w:tc>
        <w:tc>
          <w:tcPr>
            <w:tcW w:w="806" w:type="dxa"/>
            <w:hideMark/>
          </w:tcPr>
          <w:p w14:paraId="42F9805D" w14:textId="77777777" w:rsidR="00FE4DEF" w:rsidRDefault="00FE4DEF" w:rsidP="002F0595">
            <w:pPr>
              <w:pStyle w:val="NormalWeb"/>
              <w:jc w:val="center"/>
            </w:pPr>
            <w:r>
              <w:t>0</w:t>
            </w:r>
          </w:p>
        </w:tc>
        <w:tc>
          <w:tcPr>
            <w:tcW w:w="807" w:type="dxa"/>
            <w:hideMark/>
          </w:tcPr>
          <w:p w14:paraId="78BE3B16" w14:textId="77777777" w:rsidR="00FE4DEF" w:rsidRDefault="00FE4DEF" w:rsidP="002F0595">
            <w:pPr>
              <w:pStyle w:val="NormalWeb"/>
              <w:jc w:val="center"/>
            </w:pPr>
            <w:r>
              <w:t>0</w:t>
            </w:r>
          </w:p>
        </w:tc>
        <w:tc>
          <w:tcPr>
            <w:tcW w:w="1535" w:type="dxa"/>
            <w:hideMark/>
          </w:tcPr>
          <w:p w14:paraId="34EDA9E3" w14:textId="77777777" w:rsidR="00FE4DEF" w:rsidRDefault="00FE4DEF" w:rsidP="002F0595">
            <w:pPr>
              <w:pStyle w:val="NormalWeb"/>
              <w:jc w:val="center"/>
            </w:pPr>
            <w:r>
              <w:t>22</w:t>
            </w:r>
          </w:p>
        </w:tc>
      </w:tr>
      <w:tr w:rsidR="002F0595" w14:paraId="560DED98" w14:textId="77777777" w:rsidTr="002F0595">
        <w:trPr>
          <w:cnfStyle w:val="000000010000" w:firstRow="0" w:lastRow="0" w:firstColumn="0" w:lastColumn="0" w:oddVBand="0" w:evenVBand="0" w:oddHBand="0" w:evenHBand="1" w:firstRowFirstColumn="0" w:firstRowLastColumn="0" w:lastRowFirstColumn="0" w:lastRowLastColumn="0"/>
        </w:trPr>
        <w:tc>
          <w:tcPr>
            <w:tcW w:w="2480" w:type="dxa"/>
            <w:hideMark/>
          </w:tcPr>
          <w:p w14:paraId="0A74E464" w14:textId="77777777" w:rsidR="00FE4DEF" w:rsidRDefault="00FE4DEF">
            <w:pPr>
              <w:pStyle w:val="NormalWeb"/>
            </w:pPr>
            <w:r>
              <w:t>Local—source known</w:t>
            </w:r>
          </w:p>
        </w:tc>
        <w:tc>
          <w:tcPr>
            <w:tcW w:w="806" w:type="dxa"/>
            <w:hideMark/>
          </w:tcPr>
          <w:p w14:paraId="416A94BD" w14:textId="77777777" w:rsidR="00FE4DEF" w:rsidRDefault="00FE4DEF" w:rsidP="002F0595">
            <w:pPr>
              <w:pStyle w:val="NormalWeb"/>
              <w:jc w:val="center"/>
            </w:pPr>
            <w:r>
              <w:t>54</w:t>
            </w:r>
          </w:p>
        </w:tc>
        <w:tc>
          <w:tcPr>
            <w:tcW w:w="806" w:type="dxa"/>
            <w:hideMark/>
          </w:tcPr>
          <w:p w14:paraId="30D8EA48" w14:textId="77777777" w:rsidR="00FE4DEF" w:rsidRDefault="00FE4DEF" w:rsidP="002F0595">
            <w:pPr>
              <w:pStyle w:val="NormalWeb"/>
              <w:jc w:val="center"/>
            </w:pPr>
            <w:r>
              <w:t>1,291</w:t>
            </w:r>
          </w:p>
        </w:tc>
        <w:tc>
          <w:tcPr>
            <w:tcW w:w="807" w:type="dxa"/>
            <w:hideMark/>
          </w:tcPr>
          <w:p w14:paraId="0CA09AE9" w14:textId="77777777" w:rsidR="00FE4DEF" w:rsidRDefault="00FE4DEF" w:rsidP="002F0595">
            <w:pPr>
              <w:pStyle w:val="NormalWeb"/>
              <w:jc w:val="center"/>
            </w:pPr>
            <w:r>
              <w:t>17</w:t>
            </w:r>
          </w:p>
        </w:tc>
        <w:tc>
          <w:tcPr>
            <w:tcW w:w="806" w:type="dxa"/>
            <w:hideMark/>
          </w:tcPr>
          <w:p w14:paraId="08638C74" w14:textId="77777777" w:rsidR="00FE4DEF" w:rsidRDefault="00FE4DEF" w:rsidP="002F0595">
            <w:pPr>
              <w:pStyle w:val="NormalWeb"/>
              <w:jc w:val="center"/>
            </w:pPr>
            <w:r>
              <w:t>0</w:t>
            </w:r>
          </w:p>
        </w:tc>
        <w:tc>
          <w:tcPr>
            <w:tcW w:w="806" w:type="dxa"/>
            <w:hideMark/>
          </w:tcPr>
          <w:p w14:paraId="6E0FED45" w14:textId="77777777" w:rsidR="00FE4DEF" w:rsidRDefault="00FE4DEF" w:rsidP="002F0595">
            <w:pPr>
              <w:pStyle w:val="NormalWeb"/>
              <w:jc w:val="center"/>
            </w:pPr>
            <w:r>
              <w:t>1</w:t>
            </w:r>
          </w:p>
        </w:tc>
        <w:tc>
          <w:tcPr>
            <w:tcW w:w="807" w:type="dxa"/>
            <w:hideMark/>
          </w:tcPr>
          <w:p w14:paraId="740E5391" w14:textId="77777777" w:rsidR="00FE4DEF" w:rsidRDefault="00FE4DEF" w:rsidP="002F0595">
            <w:pPr>
              <w:pStyle w:val="NormalWeb"/>
              <w:jc w:val="center"/>
            </w:pPr>
            <w:r>
              <w:t>0</w:t>
            </w:r>
          </w:p>
        </w:tc>
        <w:tc>
          <w:tcPr>
            <w:tcW w:w="806" w:type="dxa"/>
            <w:hideMark/>
          </w:tcPr>
          <w:p w14:paraId="64A8EA45" w14:textId="77777777" w:rsidR="00FE4DEF" w:rsidRDefault="00FE4DEF" w:rsidP="002F0595">
            <w:pPr>
              <w:pStyle w:val="NormalWeb"/>
              <w:jc w:val="center"/>
            </w:pPr>
            <w:r>
              <w:t>0</w:t>
            </w:r>
          </w:p>
        </w:tc>
        <w:tc>
          <w:tcPr>
            <w:tcW w:w="807" w:type="dxa"/>
            <w:hideMark/>
          </w:tcPr>
          <w:p w14:paraId="3F303800" w14:textId="77777777" w:rsidR="00FE4DEF" w:rsidRDefault="00FE4DEF" w:rsidP="002F0595">
            <w:pPr>
              <w:pStyle w:val="NormalWeb"/>
              <w:jc w:val="center"/>
            </w:pPr>
            <w:r>
              <w:t>0</w:t>
            </w:r>
          </w:p>
        </w:tc>
        <w:tc>
          <w:tcPr>
            <w:tcW w:w="1535" w:type="dxa"/>
            <w:hideMark/>
          </w:tcPr>
          <w:p w14:paraId="37E13729" w14:textId="77777777" w:rsidR="00FE4DEF" w:rsidRDefault="00FE4DEF" w:rsidP="002F0595">
            <w:pPr>
              <w:pStyle w:val="NormalWeb"/>
              <w:jc w:val="center"/>
            </w:pPr>
            <w:r>
              <w:t>1,363</w:t>
            </w:r>
          </w:p>
        </w:tc>
      </w:tr>
      <w:tr w:rsidR="00FE4DEF" w14:paraId="40707D27" w14:textId="77777777" w:rsidTr="002F0595">
        <w:tc>
          <w:tcPr>
            <w:tcW w:w="2480" w:type="dxa"/>
            <w:hideMark/>
          </w:tcPr>
          <w:p w14:paraId="6F60C7EB" w14:textId="77777777" w:rsidR="00FE4DEF" w:rsidRDefault="00FE4DEF">
            <w:pPr>
              <w:pStyle w:val="NormalWeb"/>
            </w:pPr>
            <w:r>
              <w:t>Local—source unknown</w:t>
            </w:r>
          </w:p>
        </w:tc>
        <w:tc>
          <w:tcPr>
            <w:tcW w:w="806" w:type="dxa"/>
            <w:hideMark/>
          </w:tcPr>
          <w:p w14:paraId="6EE26B31" w14:textId="77777777" w:rsidR="00FE4DEF" w:rsidRDefault="00FE4DEF" w:rsidP="002F0595">
            <w:pPr>
              <w:pStyle w:val="NormalWeb"/>
              <w:jc w:val="center"/>
            </w:pPr>
            <w:r>
              <w:t>10</w:t>
            </w:r>
          </w:p>
        </w:tc>
        <w:tc>
          <w:tcPr>
            <w:tcW w:w="806" w:type="dxa"/>
            <w:hideMark/>
          </w:tcPr>
          <w:p w14:paraId="7F373B7F" w14:textId="77777777" w:rsidR="00FE4DEF" w:rsidRDefault="00FE4DEF" w:rsidP="002F0595">
            <w:pPr>
              <w:pStyle w:val="NormalWeb"/>
              <w:jc w:val="center"/>
            </w:pPr>
            <w:r>
              <w:t>237</w:t>
            </w:r>
          </w:p>
        </w:tc>
        <w:tc>
          <w:tcPr>
            <w:tcW w:w="807" w:type="dxa"/>
            <w:hideMark/>
          </w:tcPr>
          <w:p w14:paraId="04F26B5B" w14:textId="77777777" w:rsidR="00FE4DEF" w:rsidRDefault="00FE4DEF" w:rsidP="002F0595">
            <w:pPr>
              <w:pStyle w:val="NormalWeb"/>
              <w:jc w:val="center"/>
            </w:pPr>
            <w:r>
              <w:t>0</w:t>
            </w:r>
          </w:p>
        </w:tc>
        <w:tc>
          <w:tcPr>
            <w:tcW w:w="806" w:type="dxa"/>
            <w:hideMark/>
          </w:tcPr>
          <w:p w14:paraId="630D2B0B" w14:textId="77777777" w:rsidR="00FE4DEF" w:rsidRDefault="00FE4DEF" w:rsidP="002F0595">
            <w:pPr>
              <w:pStyle w:val="NormalWeb"/>
              <w:jc w:val="center"/>
            </w:pPr>
            <w:r>
              <w:t>0</w:t>
            </w:r>
          </w:p>
        </w:tc>
        <w:tc>
          <w:tcPr>
            <w:tcW w:w="806" w:type="dxa"/>
            <w:hideMark/>
          </w:tcPr>
          <w:p w14:paraId="0B392C8D" w14:textId="77777777" w:rsidR="00FE4DEF" w:rsidRDefault="00FE4DEF" w:rsidP="002F0595">
            <w:pPr>
              <w:pStyle w:val="NormalWeb"/>
              <w:jc w:val="center"/>
            </w:pPr>
            <w:r>
              <w:t>0</w:t>
            </w:r>
          </w:p>
        </w:tc>
        <w:tc>
          <w:tcPr>
            <w:tcW w:w="807" w:type="dxa"/>
            <w:hideMark/>
          </w:tcPr>
          <w:p w14:paraId="2B6ED1C0" w14:textId="77777777" w:rsidR="00FE4DEF" w:rsidRDefault="00FE4DEF" w:rsidP="002F0595">
            <w:pPr>
              <w:pStyle w:val="NormalWeb"/>
              <w:jc w:val="center"/>
            </w:pPr>
            <w:r>
              <w:t>0</w:t>
            </w:r>
          </w:p>
        </w:tc>
        <w:tc>
          <w:tcPr>
            <w:tcW w:w="806" w:type="dxa"/>
            <w:hideMark/>
          </w:tcPr>
          <w:p w14:paraId="557172E3" w14:textId="77777777" w:rsidR="00FE4DEF" w:rsidRDefault="00FE4DEF" w:rsidP="002F0595">
            <w:pPr>
              <w:pStyle w:val="NormalWeb"/>
              <w:jc w:val="center"/>
            </w:pPr>
            <w:r>
              <w:t>0</w:t>
            </w:r>
          </w:p>
        </w:tc>
        <w:tc>
          <w:tcPr>
            <w:tcW w:w="807" w:type="dxa"/>
            <w:hideMark/>
          </w:tcPr>
          <w:p w14:paraId="7C515AE2" w14:textId="77777777" w:rsidR="00FE4DEF" w:rsidRDefault="00FE4DEF" w:rsidP="002F0595">
            <w:pPr>
              <w:pStyle w:val="NormalWeb"/>
              <w:jc w:val="center"/>
            </w:pPr>
            <w:r>
              <w:t>0</w:t>
            </w:r>
          </w:p>
        </w:tc>
        <w:tc>
          <w:tcPr>
            <w:tcW w:w="1535" w:type="dxa"/>
            <w:hideMark/>
          </w:tcPr>
          <w:p w14:paraId="581889EF" w14:textId="77777777" w:rsidR="00FE4DEF" w:rsidRDefault="00FE4DEF" w:rsidP="002F0595">
            <w:pPr>
              <w:pStyle w:val="NormalWeb"/>
              <w:jc w:val="center"/>
            </w:pPr>
            <w:r>
              <w:t>247</w:t>
            </w:r>
          </w:p>
        </w:tc>
      </w:tr>
      <w:tr w:rsidR="002F0595" w14:paraId="4D082207" w14:textId="77777777" w:rsidTr="002F0595">
        <w:trPr>
          <w:cnfStyle w:val="000000010000" w:firstRow="0" w:lastRow="0" w:firstColumn="0" w:lastColumn="0" w:oddVBand="0" w:evenVBand="0" w:oddHBand="0" w:evenHBand="1" w:firstRowFirstColumn="0" w:firstRowLastColumn="0" w:lastRowFirstColumn="0" w:lastRowLastColumn="0"/>
        </w:trPr>
        <w:tc>
          <w:tcPr>
            <w:tcW w:w="2480" w:type="dxa"/>
            <w:hideMark/>
          </w:tcPr>
          <w:p w14:paraId="367E0727" w14:textId="77777777" w:rsidR="00FE4DEF" w:rsidRDefault="00FE4DEF">
            <w:pPr>
              <w:pStyle w:val="NormalWeb"/>
            </w:pPr>
            <w:r>
              <w:t>Under investigation</w:t>
            </w:r>
          </w:p>
        </w:tc>
        <w:tc>
          <w:tcPr>
            <w:tcW w:w="806" w:type="dxa"/>
            <w:hideMark/>
          </w:tcPr>
          <w:p w14:paraId="1BE52FAC" w14:textId="77777777" w:rsidR="00FE4DEF" w:rsidRDefault="00FE4DEF" w:rsidP="002F0595">
            <w:pPr>
              <w:pStyle w:val="NormalWeb"/>
              <w:jc w:val="center"/>
            </w:pPr>
            <w:r>
              <w:t>4</w:t>
            </w:r>
          </w:p>
        </w:tc>
        <w:tc>
          <w:tcPr>
            <w:tcW w:w="806" w:type="dxa"/>
            <w:hideMark/>
          </w:tcPr>
          <w:p w14:paraId="42629E6B" w14:textId="77777777" w:rsidR="00FE4DEF" w:rsidRDefault="00FE4DEF" w:rsidP="002F0595">
            <w:pPr>
              <w:pStyle w:val="NormalWeb"/>
              <w:jc w:val="center"/>
            </w:pPr>
            <w:r>
              <w:t>112</w:t>
            </w:r>
          </w:p>
        </w:tc>
        <w:tc>
          <w:tcPr>
            <w:tcW w:w="807" w:type="dxa"/>
            <w:hideMark/>
          </w:tcPr>
          <w:p w14:paraId="5C644CE8" w14:textId="77777777" w:rsidR="00FE4DEF" w:rsidRDefault="00FE4DEF" w:rsidP="002F0595">
            <w:pPr>
              <w:pStyle w:val="NormalWeb"/>
              <w:jc w:val="center"/>
            </w:pPr>
            <w:r>
              <w:t>2</w:t>
            </w:r>
          </w:p>
        </w:tc>
        <w:tc>
          <w:tcPr>
            <w:tcW w:w="806" w:type="dxa"/>
            <w:hideMark/>
          </w:tcPr>
          <w:p w14:paraId="0EE7388D" w14:textId="77777777" w:rsidR="00FE4DEF" w:rsidRDefault="00FE4DEF" w:rsidP="002F0595">
            <w:pPr>
              <w:pStyle w:val="NormalWeb"/>
              <w:jc w:val="center"/>
            </w:pPr>
            <w:r>
              <w:t>1</w:t>
            </w:r>
          </w:p>
        </w:tc>
        <w:tc>
          <w:tcPr>
            <w:tcW w:w="806" w:type="dxa"/>
            <w:hideMark/>
          </w:tcPr>
          <w:p w14:paraId="57712BA6" w14:textId="77777777" w:rsidR="00FE4DEF" w:rsidRDefault="00FE4DEF" w:rsidP="002F0595">
            <w:pPr>
              <w:pStyle w:val="NormalWeb"/>
              <w:jc w:val="center"/>
            </w:pPr>
            <w:r>
              <w:t>0</w:t>
            </w:r>
          </w:p>
        </w:tc>
        <w:tc>
          <w:tcPr>
            <w:tcW w:w="807" w:type="dxa"/>
            <w:hideMark/>
          </w:tcPr>
          <w:p w14:paraId="2BA46283" w14:textId="77777777" w:rsidR="00FE4DEF" w:rsidRDefault="00FE4DEF" w:rsidP="002F0595">
            <w:pPr>
              <w:pStyle w:val="NormalWeb"/>
              <w:jc w:val="center"/>
            </w:pPr>
            <w:r>
              <w:t>0</w:t>
            </w:r>
          </w:p>
        </w:tc>
        <w:tc>
          <w:tcPr>
            <w:tcW w:w="806" w:type="dxa"/>
            <w:hideMark/>
          </w:tcPr>
          <w:p w14:paraId="5C6401F2" w14:textId="77777777" w:rsidR="00FE4DEF" w:rsidRDefault="00FE4DEF" w:rsidP="002F0595">
            <w:pPr>
              <w:pStyle w:val="NormalWeb"/>
              <w:jc w:val="center"/>
            </w:pPr>
            <w:r>
              <w:t>0</w:t>
            </w:r>
          </w:p>
        </w:tc>
        <w:tc>
          <w:tcPr>
            <w:tcW w:w="807" w:type="dxa"/>
            <w:hideMark/>
          </w:tcPr>
          <w:p w14:paraId="03AB9043" w14:textId="77777777" w:rsidR="00FE4DEF" w:rsidRDefault="00FE4DEF" w:rsidP="002F0595">
            <w:pPr>
              <w:pStyle w:val="NormalWeb"/>
              <w:jc w:val="center"/>
            </w:pPr>
            <w:r>
              <w:t>0</w:t>
            </w:r>
          </w:p>
        </w:tc>
        <w:tc>
          <w:tcPr>
            <w:tcW w:w="1535" w:type="dxa"/>
            <w:hideMark/>
          </w:tcPr>
          <w:p w14:paraId="67CA0AAB" w14:textId="77777777" w:rsidR="00FE4DEF" w:rsidRDefault="00FE4DEF" w:rsidP="002F0595">
            <w:pPr>
              <w:pStyle w:val="NormalWeb"/>
              <w:jc w:val="center"/>
            </w:pPr>
            <w:r>
              <w:t>119</w:t>
            </w:r>
          </w:p>
        </w:tc>
      </w:tr>
      <w:tr w:rsidR="001A6EFB" w:rsidRPr="001A6EFB" w14:paraId="05ABA899" w14:textId="77777777" w:rsidTr="001A6EFB">
        <w:tc>
          <w:tcPr>
            <w:tcW w:w="2480" w:type="dxa"/>
            <w:shd w:val="clear" w:color="auto" w:fill="FDE9D9" w:themeFill="accent6" w:themeFillTint="33"/>
            <w:hideMark/>
          </w:tcPr>
          <w:p w14:paraId="4C0E5390" w14:textId="77777777" w:rsidR="00FE4DEF" w:rsidRPr="001A6EFB" w:rsidRDefault="00FE4DEF">
            <w:pPr>
              <w:pStyle w:val="NormalWeb"/>
              <w:rPr>
                <w:b/>
              </w:rPr>
            </w:pPr>
            <w:r w:rsidRPr="001A6EFB">
              <w:rPr>
                <w:b/>
              </w:rPr>
              <w:t>Total</w:t>
            </w:r>
          </w:p>
        </w:tc>
        <w:tc>
          <w:tcPr>
            <w:tcW w:w="806" w:type="dxa"/>
            <w:shd w:val="clear" w:color="auto" w:fill="FDE9D9" w:themeFill="accent6" w:themeFillTint="33"/>
            <w:hideMark/>
          </w:tcPr>
          <w:p w14:paraId="5CA8A02A" w14:textId="77777777" w:rsidR="00FE4DEF" w:rsidRPr="001A6EFB" w:rsidRDefault="00FE4DEF" w:rsidP="002F0595">
            <w:pPr>
              <w:pStyle w:val="NormalWeb"/>
              <w:jc w:val="center"/>
              <w:rPr>
                <w:b/>
              </w:rPr>
            </w:pPr>
            <w:r w:rsidRPr="001A6EFB">
              <w:rPr>
                <w:b/>
              </w:rPr>
              <w:t>86</w:t>
            </w:r>
          </w:p>
        </w:tc>
        <w:tc>
          <w:tcPr>
            <w:tcW w:w="806" w:type="dxa"/>
            <w:shd w:val="clear" w:color="auto" w:fill="FDE9D9" w:themeFill="accent6" w:themeFillTint="33"/>
            <w:hideMark/>
          </w:tcPr>
          <w:p w14:paraId="4C1557D4" w14:textId="77777777" w:rsidR="00FE4DEF" w:rsidRPr="001A6EFB" w:rsidRDefault="00FE4DEF" w:rsidP="002F0595">
            <w:pPr>
              <w:pStyle w:val="NormalWeb"/>
              <w:jc w:val="center"/>
              <w:rPr>
                <w:b/>
              </w:rPr>
            </w:pPr>
            <w:r w:rsidRPr="001A6EFB">
              <w:rPr>
                <w:b/>
              </w:rPr>
              <w:t>1,640</w:t>
            </w:r>
          </w:p>
        </w:tc>
        <w:tc>
          <w:tcPr>
            <w:tcW w:w="807" w:type="dxa"/>
            <w:shd w:val="clear" w:color="auto" w:fill="FDE9D9" w:themeFill="accent6" w:themeFillTint="33"/>
            <w:hideMark/>
          </w:tcPr>
          <w:p w14:paraId="69D7416C" w14:textId="77777777" w:rsidR="00FE4DEF" w:rsidRPr="001A6EFB" w:rsidRDefault="00FE4DEF" w:rsidP="002F0595">
            <w:pPr>
              <w:pStyle w:val="NormalWeb"/>
              <w:jc w:val="center"/>
              <w:rPr>
                <w:b/>
              </w:rPr>
            </w:pPr>
            <w:r w:rsidRPr="001A6EFB">
              <w:rPr>
                <w:b/>
              </w:rPr>
              <w:t>19</w:t>
            </w:r>
          </w:p>
        </w:tc>
        <w:tc>
          <w:tcPr>
            <w:tcW w:w="806" w:type="dxa"/>
            <w:shd w:val="clear" w:color="auto" w:fill="FDE9D9" w:themeFill="accent6" w:themeFillTint="33"/>
            <w:hideMark/>
          </w:tcPr>
          <w:p w14:paraId="01F5AB2C" w14:textId="77777777" w:rsidR="00FE4DEF" w:rsidRPr="001A6EFB" w:rsidRDefault="00FE4DEF" w:rsidP="002F0595">
            <w:pPr>
              <w:pStyle w:val="NormalWeb"/>
              <w:jc w:val="center"/>
              <w:rPr>
                <w:b/>
              </w:rPr>
            </w:pPr>
            <w:r w:rsidRPr="001A6EFB">
              <w:rPr>
                <w:b/>
              </w:rPr>
              <w:t>5</w:t>
            </w:r>
          </w:p>
        </w:tc>
        <w:tc>
          <w:tcPr>
            <w:tcW w:w="806" w:type="dxa"/>
            <w:shd w:val="clear" w:color="auto" w:fill="FDE9D9" w:themeFill="accent6" w:themeFillTint="33"/>
            <w:hideMark/>
          </w:tcPr>
          <w:p w14:paraId="48B46FC8" w14:textId="77777777" w:rsidR="00FE4DEF" w:rsidRPr="001A6EFB" w:rsidRDefault="00FE4DEF" w:rsidP="002F0595">
            <w:pPr>
              <w:pStyle w:val="NormalWeb"/>
              <w:jc w:val="center"/>
              <w:rPr>
                <w:b/>
              </w:rPr>
            </w:pPr>
            <w:r w:rsidRPr="001A6EFB">
              <w:rPr>
                <w:b/>
              </w:rPr>
              <w:t>1</w:t>
            </w:r>
          </w:p>
        </w:tc>
        <w:tc>
          <w:tcPr>
            <w:tcW w:w="807" w:type="dxa"/>
            <w:shd w:val="clear" w:color="auto" w:fill="FDE9D9" w:themeFill="accent6" w:themeFillTint="33"/>
            <w:hideMark/>
          </w:tcPr>
          <w:p w14:paraId="4D31195C" w14:textId="77777777" w:rsidR="00FE4DEF" w:rsidRPr="001A6EFB" w:rsidRDefault="00FE4DEF" w:rsidP="002F0595">
            <w:pPr>
              <w:pStyle w:val="NormalWeb"/>
              <w:jc w:val="center"/>
              <w:rPr>
                <w:b/>
              </w:rPr>
            </w:pPr>
            <w:r w:rsidRPr="001A6EFB">
              <w:rPr>
                <w:b/>
              </w:rPr>
              <w:t>0</w:t>
            </w:r>
          </w:p>
        </w:tc>
        <w:tc>
          <w:tcPr>
            <w:tcW w:w="806" w:type="dxa"/>
            <w:shd w:val="clear" w:color="auto" w:fill="FDE9D9" w:themeFill="accent6" w:themeFillTint="33"/>
            <w:hideMark/>
          </w:tcPr>
          <w:p w14:paraId="6FA6B6C2" w14:textId="77777777" w:rsidR="00FE4DEF" w:rsidRPr="001A6EFB" w:rsidRDefault="00FE4DEF" w:rsidP="002F0595">
            <w:pPr>
              <w:pStyle w:val="NormalWeb"/>
              <w:jc w:val="center"/>
              <w:rPr>
                <w:b/>
              </w:rPr>
            </w:pPr>
            <w:r w:rsidRPr="001A6EFB">
              <w:rPr>
                <w:b/>
              </w:rPr>
              <w:t>0</w:t>
            </w:r>
          </w:p>
        </w:tc>
        <w:tc>
          <w:tcPr>
            <w:tcW w:w="807" w:type="dxa"/>
            <w:shd w:val="clear" w:color="auto" w:fill="FDE9D9" w:themeFill="accent6" w:themeFillTint="33"/>
            <w:hideMark/>
          </w:tcPr>
          <w:p w14:paraId="69BE3699" w14:textId="77777777" w:rsidR="00FE4DEF" w:rsidRPr="001A6EFB" w:rsidRDefault="00FE4DEF" w:rsidP="002F0595">
            <w:pPr>
              <w:pStyle w:val="NormalWeb"/>
              <w:jc w:val="center"/>
              <w:rPr>
                <w:b/>
              </w:rPr>
            </w:pPr>
            <w:r w:rsidRPr="001A6EFB">
              <w:rPr>
                <w:b/>
              </w:rPr>
              <w:t>0</w:t>
            </w:r>
          </w:p>
        </w:tc>
        <w:tc>
          <w:tcPr>
            <w:tcW w:w="1535" w:type="dxa"/>
            <w:shd w:val="clear" w:color="auto" w:fill="FDE9D9" w:themeFill="accent6" w:themeFillTint="33"/>
            <w:hideMark/>
          </w:tcPr>
          <w:p w14:paraId="41416AD1" w14:textId="77777777" w:rsidR="00FE4DEF" w:rsidRPr="001A6EFB" w:rsidRDefault="00FE4DEF" w:rsidP="002F0595">
            <w:pPr>
              <w:pStyle w:val="NormalWeb"/>
              <w:jc w:val="center"/>
              <w:rPr>
                <w:b/>
              </w:rPr>
            </w:pPr>
            <w:r w:rsidRPr="001A6EFB">
              <w:rPr>
                <w:b/>
              </w:rPr>
              <w:t>1,751</w:t>
            </w:r>
          </w:p>
        </w:tc>
      </w:tr>
    </w:tbl>
    <w:p w14:paraId="256FB2CD" w14:textId="77777777" w:rsidR="008C21D9" w:rsidRDefault="008C21D9" w:rsidP="00B21656"/>
    <w:p w14:paraId="492B254F" w14:textId="77777777" w:rsidR="00FE4DEF" w:rsidRDefault="00FE4DEF" w:rsidP="00B21656">
      <w:r>
        <w:t xml:space="preserve">For this reporting period, 94% of cases have been reported from Victoria (1,640/1,751) with 79% (1.291/1,640) of these cases reported as locally acquired with known source, 14% (237/1,640) as locally acquired with unknown source, 7% as under investigation (though likely locally acquired), and no cases are reported as overseas acquired (Table 1). In Victoria the proportion of cases reported as under investigation at the time of each report continues to decrease, and the proportion of cases considered to have an unknown source is also declining over time. </w:t>
      </w:r>
    </w:p>
    <w:p w14:paraId="17432271" w14:textId="77777777" w:rsidR="00FE4DEF" w:rsidRDefault="00FE4DEF" w:rsidP="00B21656">
      <w:r>
        <w:t xml:space="preserve">Excluding Victoria, for all other cases (111) in this reporting period: 65% (72/111) are reported as locally acquired with known source; 9% (10/111) of cases are reported as locally acquired with unknown source; 20% (22/111) of cases are reported as overseas acquired (note, no overseas-acquired cases were reported in Victoria); and 6% of cases reported are under investigation (Table 1). Overseas-acquired cases were reported from NSW (18) and WA (4) and were travellers in hotel quarantine from repatriation flights. These proportions are similar to the previous reporting period. Excluding those reported in Victoria, the majority of cases (77%; 86/111) were reported by NSW and an increasing proportion were reported in Queensland (17%; 19/111). </w:t>
      </w:r>
    </w:p>
    <w:p w14:paraId="058CFB42" w14:textId="77777777" w:rsidR="00FE4DEF" w:rsidRDefault="00FE4DEF" w:rsidP="00B21656">
      <w:r>
        <w:t xml:space="preserve">The national rate of infection in locally-acquired cases in this reporting period was 6.8 cases per 100,000 population, which is a decrease from the rate observed in the previous reporting period (17.6 cases per 100,000 population, Table 2). Cumulatively, the infection rate to date for all locally-acquired cases is highest in Victoria with 272.6 infections per 100,000 population with Tasmania reporting the second highest rate with 27.9 infections per 100,000, followed by New South Wales with 22.3 infections per 100,000 population. </w:t>
      </w:r>
    </w:p>
    <w:p w14:paraId="0C8FBAEB" w14:textId="77777777" w:rsidR="00DA0855" w:rsidRDefault="00DA0855">
      <w:pPr>
        <w:rPr>
          <w:b/>
        </w:rPr>
      </w:pPr>
      <w:r>
        <w:lastRenderedPageBreak/>
        <w:br w:type="page"/>
      </w:r>
    </w:p>
    <w:p w14:paraId="010275BC" w14:textId="77777777" w:rsidR="00FE4DEF" w:rsidRDefault="00FE4DEF" w:rsidP="00B21656">
      <w:pPr>
        <w:pStyle w:val="CDIFigures"/>
      </w:pPr>
      <w:r>
        <w:lastRenderedPageBreak/>
        <w:t xml:space="preserve">Table 2. Locally-acquired COVID-19 case numbers and rates per 100,000 population by jurisdiction and reporting period, as at 30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locally-acquired cases and rate per 100,000 in recent weeks; at 272.6 cases per 100,000 population, Victoria continues to have the highest cumulative locally-acquired case rate nationwide.&#10;"/>
      </w:tblPr>
      <w:tblGrid>
        <w:gridCol w:w="1156"/>
        <w:gridCol w:w="1216"/>
        <w:gridCol w:w="1886"/>
        <w:gridCol w:w="1217"/>
        <w:gridCol w:w="1887"/>
        <w:gridCol w:w="1217"/>
        <w:gridCol w:w="1887"/>
      </w:tblGrid>
      <w:tr w:rsidR="00FE4DEF" w14:paraId="1EFF1ACD" w14:textId="77777777" w:rsidTr="00F75D7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66B4ECA" w14:textId="77777777" w:rsidR="00FE4DEF" w:rsidRPr="005A7A10" w:rsidRDefault="00FE4DEF">
            <w:pPr>
              <w:pStyle w:val="NormalWeb"/>
              <w:rPr>
                <w:color w:val="FFFFFF" w:themeColor="background1"/>
              </w:rPr>
            </w:pPr>
            <w:r w:rsidRPr="005A7A10">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6DBA7CA3" w14:textId="77777777" w:rsidR="00FE4DEF" w:rsidRPr="005A7A10" w:rsidRDefault="00FE4DEF" w:rsidP="005A7A10">
            <w:pPr>
              <w:pStyle w:val="NormalWeb"/>
              <w:jc w:val="center"/>
              <w:rPr>
                <w:color w:val="FFFFFF" w:themeColor="background1"/>
              </w:rPr>
            </w:pPr>
            <w:r w:rsidRPr="005A7A10">
              <w:rPr>
                <w:color w:val="FFFFFF" w:themeColor="background1"/>
              </w:rPr>
              <w:t>Reporting period</w:t>
            </w:r>
            <w:r w:rsidRPr="005A7A10">
              <w:rPr>
                <w:color w:val="FFFFFF" w:themeColor="background1"/>
              </w:rPr>
              <w:br/>
              <w:t>3—16 August</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264C7C0B" w14:textId="77777777" w:rsidR="00FE4DEF" w:rsidRPr="005A7A10" w:rsidRDefault="00FE4DEF" w:rsidP="005A7A10">
            <w:pPr>
              <w:pStyle w:val="NormalWeb"/>
              <w:jc w:val="center"/>
              <w:rPr>
                <w:color w:val="FFFFFF" w:themeColor="background1"/>
              </w:rPr>
            </w:pPr>
            <w:r w:rsidRPr="005A7A10">
              <w:rPr>
                <w:color w:val="FFFFFF" w:themeColor="background1"/>
              </w:rPr>
              <w:t>Reporting period</w:t>
            </w:r>
            <w:r w:rsidRPr="005A7A10">
              <w:rPr>
                <w:color w:val="FFFFFF" w:themeColor="background1"/>
              </w:rPr>
              <w:br/>
              <w:t>17—30 August</w:t>
            </w:r>
          </w:p>
        </w:tc>
        <w:tc>
          <w:tcPr>
            <w:tcW w:w="0" w:type="auto"/>
            <w:gridSpan w:val="2"/>
            <w:tcBorders>
              <w:left w:val="single" w:sz="2" w:space="0" w:color="FFFFFF" w:themeColor="background1"/>
              <w:bottom w:val="single" w:sz="2" w:space="0" w:color="FFFFFF" w:themeColor="background1"/>
            </w:tcBorders>
            <w:hideMark/>
          </w:tcPr>
          <w:p w14:paraId="5F3F6B2A" w14:textId="77777777" w:rsidR="00FE4DEF" w:rsidRPr="005A7A10" w:rsidRDefault="00FE4DEF" w:rsidP="005A7A10">
            <w:pPr>
              <w:pStyle w:val="NormalWeb"/>
              <w:jc w:val="center"/>
              <w:rPr>
                <w:color w:val="FFFFFF" w:themeColor="background1"/>
              </w:rPr>
            </w:pPr>
            <w:r w:rsidRPr="005A7A10">
              <w:rPr>
                <w:color w:val="FFFFFF" w:themeColor="background1"/>
              </w:rPr>
              <w:t>Cumulative cases</w:t>
            </w:r>
          </w:p>
        </w:tc>
      </w:tr>
      <w:tr w:rsidR="00FE4DEF" w14:paraId="560A9B23" w14:textId="77777777" w:rsidTr="00F75D7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BB3FD92" w14:textId="77777777" w:rsidR="00FE4DEF" w:rsidRPr="005A7A10" w:rsidRDefault="00FE4DEF">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3138E61" w14:textId="77777777" w:rsidR="00FE4DEF" w:rsidRPr="005A7A10" w:rsidRDefault="00FE4DEF" w:rsidP="005A7A10">
            <w:pPr>
              <w:pStyle w:val="NormalWeb"/>
              <w:jc w:val="center"/>
              <w:rPr>
                <w:color w:val="FFFFFF" w:themeColor="background1"/>
              </w:rPr>
            </w:pPr>
            <w:r w:rsidRPr="005A7A10">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049C587" w14:textId="77777777" w:rsidR="00FE4DEF" w:rsidRPr="005A7A10" w:rsidRDefault="00FE4DEF" w:rsidP="005A7A10">
            <w:pPr>
              <w:pStyle w:val="NormalWeb"/>
              <w:jc w:val="center"/>
              <w:rPr>
                <w:color w:val="FFFFFF" w:themeColor="background1"/>
              </w:rPr>
            </w:pPr>
            <w:r w:rsidRPr="005A7A10">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92B9EEA" w14:textId="77777777" w:rsidR="00FE4DEF" w:rsidRPr="005A7A10" w:rsidRDefault="00FE4DEF" w:rsidP="005A7A10">
            <w:pPr>
              <w:pStyle w:val="NormalWeb"/>
              <w:jc w:val="center"/>
              <w:rPr>
                <w:color w:val="FFFFFF" w:themeColor="background1"/>
              </w:rPr>
            </w:pPr>
            <w:r w:rsidRPr="005A7A10">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97C63CE" w14:textId="77777777" w:rsidR="00FE4DEF" w:rsidRPr="005A7A10" w:rsidRDefault="00FE4DEF" w:rsidP="005A7A10">
            <w:pPr>
              <w:pStyle w:val="NormalWeb"/>
              <w:jc w:val="center"/>
              <w:rPr>
                <w:color w:val="FFFFFF" w:themeColor="background1"/>
              </w:rPr>
            </w:pPr>
            <w:r w:rsidRPr="005A7A10">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40DA5C9" w14:textId="77777777" w:rsidR="00FE4DEF" w:rsidRPr="005A7A10" w:rsidRDefault="00FE4DEF" w:rsidP="005A7A10">
            <w:pPr>
              <w:pStyle w:val="NormalWeb"/>
              <w:jc w:val="center"/>
              <w:rPr>
                <w:color w:val="FFFFFF" w:themeColor="background1"/>
              </w:rPr>
            </w:pPr>
            <w:r w:rsidRPr="005A7A10">
              <w:rPr>
                <w:color w:val="FFFFFF" w:themeColor="background1"/>
              </w:rPr>
              <w:t>Number of cases</w:t>
            </w:r>
          </w:p>
        </w:tc>
        <w:tc>
          <w:tcPr>
            <w:tcW w:w="0" w:type="auto"/>
            <w:tcBorders>
              <w:top w:val="single" w:sz="2" w:space="0" w:color="FFFFFF" w:themeColor="background1"/>
              <w:left w:val="single" w:sz="2" w:space="0" w:color="FFFFFF" w:themeColor="background1"/>
            </w:tcBorders>
            <w:hideMark/>
          </w:tcPr>
          <w:p w14:paraId="3A9DE297" w14:textId="77777777" w:rsidR="00FE4DEF" w:rsidRPr="005A7A10" w:rsidRDefault="00FE4DEF" w:rsidP="005A7A10">
            <w:pPr>
              <w:pStyle w:val="NormalWeb"/>
              <w:jc w:val="center"/>
              <w:rPr>
                <w:color w:val="FFFFFF" w:themeColor="background1"/>
              </w:rPr>
            </w:pPr>
            <w:r w:rsidRPr="005A7A10">
              <w:rPr>
                <w:color w:val="FFFFFF" w:themeColor="background1"/>
              </w:rPr>
              <w:t>Rates per 100,000 population</w:t>
            </w:r>
          </w:p>
        </w:tc>
      </w:tr>
      <w:tr w:rsidR="00FE4DEF" w14:paraId="1DEC57C8" w14:textId="77777777" w:rsidTr="005A7A10">
        <w:tc>
          <w:tcPr>
            <w:tcW w:w="0" w:type="auto"/>
            <w:hideMark/>
          </w:tcPr>
          <w:p w14:paraId="6FEE7736" w14:textId="77777777" w:rsidR="00FE4DEF" w:rsidRDefault="00FE4DEF">
            <w:pPr>
              <w:pStyle w:val="NormalWeb"/>
            </w:pPr>
            <w:r>
              <w:t>NSW</w:t>
            </w:r>
          </w:p>
        </w:tc>
        <w:tc>
          <w:tcPr>
            <w:tcW w:w="0" w:type="auto"/>
            <w:hideMark/>
          </w:tcPr>
          <w:p w14:paraId="2A60493B" w14:textId="77777777" w:rsidR="00FE4DEF" w:rsidRDefault="00FE4DEF" w:rsidP="005A7A10">
            <w:pPr>
              <w:pStyle w:val="NormalWeb"/>
              <w:jc w:val="center"/>
            </w:pPr>
            <w:r>
              <w:t>116</w:t>
            </w:r>
          </w:p>
        </w:tc>
        <w:tc>
          <w:tcPr>
            <w:tcW w:w="0" w:type="auto"/>
            <w:hideMark/>
          </w:tcPr>
          <w:p w14:paraId="4AE62497" w14:textId="77777777" w:rsidR="00FE4DEF" w:rsidRDefault="00FE4DEF" w:rsidP="005A7A10">
            <w:pPr>
              <w:pStyle w:val="NormalWeb"/>
              <w:jc w:val="center"/>
            </w:pPr>
            <w:r>
              <w:t>1.4</w:t>
            </w:r>
          </w:p>
        </w:tc>
        <w:tc>
          <w:tcPr>
            <w:tcW w:w="0" w:type="auto"/>
            <w:hideMark/>
          </w:tcPr>
          <w:p w14:paraId="7A168B9F" w14:textId="77777777" w:rsidR="00FE4DEF" w:rsidRDefault="00FE4DEF" w:rsidP="005A7A10">
            <w:pPr>
              <w:pStyle w:val="NormalWeb"/>
              <w:jc w:val="center"/>
            </w:pPr>
            <w:r>
              <w:t>68</w:t>
            </w:r>
          </w:p>
        </w:tc>
        <w:tc>
          <w:tcPr>
            <w:tcW w:w="0" w:type="auto"/>
            <w:hideMark/>
          </w:tcPr>
          <w:p w14:paraId="4DF739A3" w14:textId="77777777" w:rsidR="00FE4DEF" w:rsidRDefault="00FE4DEF" w:rsidP="005A7A10">
            <w:pPr>
              <w:pStyle w:val="NormalWeb"/>
              <w:jc w:val="center"/>
            </w:pPr>
            <w:r>
              <w:t>0.8</w:t>
            </w:r>
          </w:p>
        </w:tc>
        <w:tc>
          <w:tcPr>
            <w:tcW w:w="0" w:type="auto"/>
            <w:hideMark/>
          </w:tcPr>
          <w:p w14:paraId="206B0B31" w14:textId="77777777" w:rsidR="00FE4DEF" w:rsidRDefault="00FE4DEF" w:rsidP="005A7A10">
            <w:pPr>
              <w:pStyle w:val="NormalWeb"/>
              <w:jc w:val="center"/>
            </w:pPr>
            <w:r>
              <w:t>1,804</w:t>
            </w:r>
          </w:p>
        </w:tc>
        <w:tc>
          <w:tcPr>
            <w:tcW w:w="0" w:type="auto"/>
            <w:hideMark/>
          </w:tcPr>
          <w:p w14:paraId="45991CA2" w14:textId="77777777" w:rsidR="00FE4DEF" w:rsidRDefault="00FE4DEF" w:rsidP="005A7A10">
            <w:pPr>
              <w:pStyle w:val="NormalWeb"/>
              <w:jc w:val="center"/>
            </w:pPr>
            <w:r>
              <w:t>22.3</w:t>
            </w:r>
          </w:p>
        </w:tc>
      </w:tr>
      <w:tr w:rsidR="00FE4DEF" w14:paraId="402CEBEA"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0EF060D6" w14:textId="77777777" w:rsidR="00FE4DEF" w:rsidRDefault="00FE4DEF">
            <w:pPr>
              <w:pStyle w:val="NormalWeb"/>
            </w:pPr>
            <w:r>
              <w:t>Vic</w:t>
            </w:r>
          </w:p>
        </w:tc>
        <w:tc>
          <w:tcPr>
            <w:tcW w:w="0" w:type="auto"/>
            <w:hideMark/>
          </w:tcPr>
          <w:p w14:paraId="36BFA8AA" w14:textId="77777777" w:rsidR="00FE4DEF" w:rsidRDefault="00FE4DEF" w:rsidP="005A7A10">
            <w:pPr>
              <w:pStyle w:val="NormalWeb"/>
              <w:jc w:val="center"/>
            </w:pPr>
            <w:r>
              <w:t>4,343</w:t>
            </w:r>
          </w:p>
        </w:tc>
        <w:tc>
          <w:tcPr>
            <w:tcW w:w="0" w:type="auto"/>
            <w:hideMark/>
          </w:tcPr>
          <w:p w14:paraId="71B66110" w14:textId="77777777" w:rsidR="00FE4DEF" w:rsidRDefault="00FE4DEF" w:rsidP="005A7A10">
            <w:pPr>
              <w:pStyle w:val="NormalWeb"/>
              <w:jc w:val="center"/>
            </w:pPr>
            <w:r>
              <w:t>65.8</w:t>
            </w:r>
          </w:p>
        </w:tc>
        <w:tc>
          <w:tcPr>
            <w:tcW w:w="0" w:type="auto"/>
            <w:hideMark/>
          </w:tcPr>
          <w:p w14:paraId="7CB6A4CF" w14:textId="77777777" w:rsidR="00FE4DEF" w:rsidRDefault="00FE4DEF" w:rsidP="005A7A10">
            <w:pPr>
              <w:pStyle w:val="NormalWeb"/>
              <w:jc w:val="center"/>
            </w:pPr>
            <w:r>
              <w:t>1,640</w:t>
            </w:r>
          </w:p>
        </w:tc>
        <w:tc>
          <w:tcPr>
            <w:tcW w:w="0" w:type="auto"/>
            <w:hideMark/>
          </w:tcPr>
          <w:p w14:paraId="05DD9F1A" w14:textId="77777777" w:rsidR="00FE4DEF" w:rsidRDefault="00FE4DEF" w:rsidP="005A7A10">
            <w:pPr>
              <w:pStyle w:val="NormalWeb"/>
              <w:jc w:val="center"/>
            </w:pPr>
            <w:r>
              <w:t>24.9</w:t>
            </w:r>
          </w:p>
        </w:tc>
        <w:tc>
          <w:tcPr>
            <w:tcW w:w="0" w:type="auto"/>
            <w:hideMark/>
          </w:tcPr>
          <w:p w14:paraId="222D4C57" w14:textId="77777777" w:rsidR="00FE4DEF" w:rsidRDefault="00FE4DEF" w:rsidP="005A7A10">
            <w:pPr>
              <w:pStyle w:val="NormalWeb"/>
              <w:jc w:val="center"/>
            </w:pPr>
            <w:r>
              <w:t>17,979</w:t>
            </w:r>
          </w:p>
        </w:tc>
        <w:tc>
          <w:tcPr>
            <w:tcW w:w="0" w:type="auto"/>
            <w:hideMark/>
          </w:tcPr>
          <w:p w14:paraId="3ED6594E" w14:textId="77777777" w:rsidR="00FE4DEF" w:rsidRDefault="00FE4DEF" w:rsidP="005A7A10">
            <w:pPr>
              <w:pStyle w:val="NormalWeb"/>
              <w:jc w:val="center"/>
            </w:pPr>
            <w:r>
              <w:t>272.6</w:t>
            </w:r>
          </w:p>
        </w:tc>
      </w:tr>
      <w:tr w:rsidR="00FE4DEF" w14:paraId="6B2B3FF6" w14:textId="77777777" w:rsidTr="005A7A10">
        <w:tc>
          <w:tcPr>
            <w:tcW w:w="0" w:type="auto"/>
            <w:hideMark/>
          </w:tcPr>
          <w:p w14:paraId="16633D09" w14:textId="77777777" w:rsidR="00FE4DEF" w:rsidRDefault="00FE4DEF">
            <w:pPr>
              <w:pStyle w:val="NormalWeb"/>
            </w:pPr>
            <w:r>
              <w:t>Qld</w:t>
            </w:r>
          </w:p>
        </w:tc>
        <w:tc>
          <w:tcPr>
            <w:tcW w:w="0" w:type="auto"/>
            <w:hideMark/>
          </w:tcPr>
          <w:p w14:paraId="7829519E" w14:textId="77777777" w:rsidR="00FE4DEF" w:rsidRDefault="00FE4DEF" w:rsidP="005A7A10">
            <w:pPr>
              <w:pStyle w:val="NormalWeb"/>
              <w:jc w:val="center"/>
            </w:pPr>
            <w:r>
              <w:t>5</w:t>
            </w:r>
          </w:p>
        </w:tc>
        <w:tc>
          <w:tcPr>
            <w:tcW w:w="0" w:type="auto"/>
            <w:hideMark/>
          </w:tcPr>
          <w:p w14:paraId="642D01F3" w14:textId="77777777" w:rsidR="00FE4DEF" w:rsidRDefault="00FE4DEF" w:rsidP="005A7A10">
            <w:pPr>
              <w:pStyle w:val="NormalWeb"/>
              <w:jc w:val="center"/>
            </w:pPr>
            <w:r>
              <w:t>0.1</w:t>
            </w:r>
          </w:p>
        </w:tc>
        <w:tc>
          <w:tcPr>
            <w:tcW w:w="0" w:type="auto"/>
            <w:hideMark/>
          </w:tcPr>
          <w:p w14:paraId="2DB0A251" w14:textId="77777777" w:rsidR="00FE4DEF" w:rsidRDefault="00FE4DEF" w:rsidP="005A7A10">
            <w:pPr>
              <w:pStyle w:val="NormalWeb"/>
              <w:jc w:val="center"/>
            </w:pPr>
            <w:r>
              <w:t>19</w:t>
            </w:r>
          </w:p>
        </w:tc>
        <w:tc>
          <w:tcPr>
            <w:tcW w:w="0" w:type="auto"/>
            <w:hideMark/>
          </w:tcPr>
          <w:p w14:paraId="6C4FCB80" w14:textId="77777777" w:rsidR="00FE4DEF" w:rsidRDefault="00FE4DEF" w:rsidP="005A7A10">
            <w:pPr>
              <w:pStyle w:val="NormalWeb"/>
              <w:jc w:val="center"/>
            </w:pPr>
            <w:r>
              <w:t>0.4</w:t>
            </w:r>
          </w:p>
        </w:tc>
        <w:tc>
          <w:tcPr>
            <w:tcW w:w="0" w:type="auto"/>
            <w:hideMark/>
          </w:tcPr>
          <w:p w14:paraId="4C3ED1AE" w14:textId="77777777" w:rsidR="00FE4DEF" w:rsidRDefault="00FE4DEF" w:rsidP="005A7A10">
            <w:pPr>
              <w:pStyle w:val="NormalWeb"/>
              <w:jc w:val="center"/>
            </w:pPr>
            <w:r>
              <w:t>274</w:t>
            </w:r>
          </w:p>
        </w:tc>
        <w:tc>
          <w:tcPr>
            <w:tcW w:w="0" w:type="auto"/>
            <w:hideMark/>
          </w:tcPr>
          <w:p w14:paraId="20FED482" w14:textId="77777777" w:rsidR="00FE4DEF" w:rsidRDefault="00FE4DEF" w:rsidP="005A7A10">
            <w:pPr>
              <w:pStyle w:val="NormalWeb"/>
              <w:jc w:val="center"/>
            </w:pPr>
            <w:r>
              <w:t>5.4</w:t>
            </w:r>
          </w:p>
        </w:tc>
      </w:tr>
      <w:tr w:rsidR="00FE4DEF" w14:paraId="55EB2425"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7541BE2B" w14:textId="77777777" w:rsidR="00FE4DEF" w:rsidRDefault="00FE4DEF">
            <w:pPr>
              <w:pStyle w:val="NormalWeb"/>
            </w:pPr>
            <w:r>
              <w:t>WA</w:t>
            </w:r>
          </w:p>
        </w:tc>
        <w:tc>
          <w:tcPr>
            <w:tcW w:w="0" w:type="auto"/>
            <w:hideMark/>
          </w:tcPr>
          <w:p w14:paraId="762976EC" w14:textId="77777777" w:rsidR="00FE4DEF" w:rsidRDefault="00FE4DEF" w:rsidP="005A7A10">
            <w:pPr>
              <w:pStyle w:val="NormalWeb"/>
              <w:jc w:val="center"/>
            </w:pPr>
            <w:r>
              <w:t>2</w:t>
            </w:r>
          </w:p>
        </w:tc>
        <w:tc>
          <w:tcPr>
            <w:tcW w:w="0" w:type="auto"/>
            <w:hideMark/>
          </w:tcPr>
          <w:p w14:paraId="2FC42CF4" w14:textId="77777777" w:rsidR="00FE4DEF" w:rsidRDefault="00FE4DEF" w:rsidP="005A7A10">
            <w:pPr>
              <w:pStyle w:val="NormalWeb"/>
              <w:jc w:val="center"/>
            </w:pPr>
            <w:r>
              <w:t>0.1</w:t>
            </w:r>
          </w:p>
        </w:tc>
        <w:tc>
          <w:tcPr>
            <w:tcW w:w="0" w:type="auto"/>
            <w:hideMark/>
          </w:tcPr>
          <w:p w14:paraId="13FD51CD" w14:textId="77777777" w:rsidR="00FE4DEF" w:rsidRDefault="00FE4DEF" w:rsidP="005A7A10">
            <w:pPr>
              <w:pStyle w:val="NormalWeb"/>
              <w:jc w:val="center"/>
            </w:pPr>
            <w:r>
              <w:t>1</w:t>
            </w:r>
          </w:p>
        </w:tc>
        <w:tc>
          <w:tcPr>
            <w:tcW w:w="0" w:type="auto"/>
            <w:hideMark/>
          </w:tcPr>
          <w:p w14:paraId="7837F20C" w14:textId="77777777" w:rsidR="00FE4DEF" w:rsidRDefault="00FE4DEF" w:rsidP="005A7A10">
            <w:pPr>
              <w:pStyle w:val="NormalWeb"/>
              <w:jc w:val="center"/>
            </w:pPr>
            <w:r>
              <w:t>0.0</w:t>
            </w:r>
          </w:p>
        </w:tc>
        <w:tc>
          <w:tcPr>
            <w:tcW w:w="0" w:type="auto"/>
            <w:hideMark/>
          </w:tcPr>
          <w:p w14:paraId="154DA8A1" w14:textId="77777777" w:rsidR="00FE4DEF" w:rsidRDefault="00FE4DEF" w:rsidP="005A7A10">
            <w:pPr>
              <w:pStyle w:val="NormalWeb"/>
              <w:jc w:val="center"/>
            </w:pPr>
            <w:r>
              <w:t>101</w:t>
            </w:r>
          </w:p>
        </w:tc>
        <w:tc>
          <w:tcPr>
            <w:tcW w:w="0" w:type="auto"/>
            <w:hideMark/>
          </w:tcPr>
          <w:p w14:paraId="5F4ADC1D" w14:textId="77777777" w:rsidR="00FE4DEF" w:rsidRDefault="00FE4DEF" w:rsidP="005A7A10">
            <w:pPr>
              <w:pStyle w:val="NormalWeb"/>
              <w:jc w:val="center"/>
            </w:pPr>
            <w:r>
              <w:t>3.9</w:t>
            </w:r>
          </w:p>
        </w:tc>
      </w:tr>
      <w:tr w:rsidR="00FE4DEF" w14:paraId="5BDAFD3B" w14:textId="77777777" w:rsidTr="005A7A10">
        <w:tc>
          <w:tcPr>
            <w:tcW w:w="0" w:type="auto"/>
            <w:hideMark/>
          </w:tcPr>
          <w:p w14:paraId="38D67097" w14:textId="77777777" w:rsidR="00FE4DEF" w:rsidRDefault="00FE4DEF">
            <w:pPr>
              <w:pStyle w:val="NormalWeb"/>
            </w:pPr>
            <w:r>
              <w:t>SA</w:t>
            </w:r>
          </w:p>
        </w:tc>
        <w:tc>
          <w:tcPr>
            <w:tcW w:w="0" w:type="auto"/>
            <w:hideMark/>
          </w:tcPr>
          <w:p w14:paraId="15AA1FD5" w14:textId="77777777" w:rsidR="00FE4DEF" w:rsidRDefault="00FE4DEF" w:rsidP="005A7A10">
            <w:pPr>
              <w:pStyle w:val="NormalWeb"/>
              <w:jc w:val="center"/>
            </w:pPr>
            <w:r>
              <w:t>1</w:t>
            </w:r>
          </w:p>
        </w:tc>
        <w:tc>
          <w:tcPr>
            <w:tcW w:w="0" w:type="auto"/>
            <w:hideMark/>
          </w:tcPr>
          <w:p w14:paraId="3A93F317" w14:textId="77777777" w:rsidR="00FE4DEF" w:rsidRDefault="00FE4DEF" w:rsidP="005A7A10">
            <w:pPr>
              <w:pStyle w:val="NormalWeb"/>
              <w:jc w:val="center"/>
            </w:pPr>
            <w:r>
              <w:t>0.1</w:t>
            </w:r>
          </w:p>
        </w:tc>
        <w:tc>
          <w:tcPr>
            <w:tcW w:w="0" w:type="auto"/>
            <w:hideMark/>
          </w:tcPr>
          <w:p w14:paraId="58E1827C" w14:textId="77777777" w:rsidR="00FE4DEF" w:rsidRDefault="00FE4DEF" w:rsidP="005A7A10">
            <w:pPr>
              <w:pStyle w:val="NormalWeb"/>
              <w:jc w:val="center"/>
            </w:pPr>
            <w:r>
              <w:t>1</w:t>
            </w:r>
          </w:p>
        </w:tc>
        <w:tc>
          <w:tcPr>
            <w:tcW w:w="0" w:type="auto"/>
            <w:hideMark/>
          </w:tcPr>
          <w:p w14:paraId="5E57B3AD" w14:textId="77777777" w:rsidR="00FE4DEF" w:rsidRDefault="00FE4DEF" w:rsidP="005A7A10">
            <w:pPr>
              <w:pStyle w:val="NormalWeb"/>
              <w:jc w:val="center"/>
            </w:pPr>
            <w:r>
              <w:t>0.1</w:t>
            </w:r>
          </w:p>
        </w:tc>
        <w:tc>
          <w:tcPr>
            <w:tcW w:w="0" w:type="auto"/>
            <w:hideMark/>
          </w:tcPr>
          <w:p w14:paraId="6594CB83" w14:textId="77777777" w:rsidR="00FE4DEF" w:rsidRDefault="00FE4DEF" w:rsidP="005A7A10">
            <w:pPr>
              <w:pStyle w:val="NormalWeb"/>
              <w:jc w:val="center"/>
            </w:pPr>
            <w:r>
              <w:t>150</w:t>
            </w:r>
          </w:p>
        </w:tc>
        <w:tc>
          <w:tcPr>
            <w:tcW w:w="0" w:type="auto"/>
            <w:hideMark/>
          </w:tcPr>
          <w:p w14:paraId="18504E5D" w14:textId="77777777" w:rsidR="00FE4DEF" w:rsidRDefault="00FE4DEF" w:rsidP="005A7A10">
            <w:pPr>
              <w:pStyle w:val="NormalWeb"/>
              <w:jc w:val="center"/>
            </w:pPr>
            <w:r>
              <w:t>8.6</w:t>
            </w:r>
          </w:p>
        </w:tc>
      </w:tr>
      <w:tr w:rsidR="00FE4DEF" w14:paraId="5D0388E1"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7B31AA27" w14:textId="77777777" w:rsidR="00FE4DEF" w:rsidRDefault="00FE4DEF">
            <w:pPr>
              <w:pStyle w:val="NormalWeb"/>
            </w:pPr>
            <w:r>
              <w:t>Tas</w:t>
            </w:r>
          </w:p>
        </w:tc>
        <w:tc>
          <w:tcPr>
            <w:tcW w:w="0" w:type="auto"/>
            <w:hideMark/>
          </w:tcPr>
          <w:p w14:paraId="3B59A5AF" w14:textId="77777777" w:rsidR="00FE4DEF" w:rsidRDefault="00FE4DEF" w:rsidP="005A7A10">
            <w:pPr>
              <w:pStyle w:val="NormalWeb"/>
              <w:jc w:val="center"/>
            </w:pPr>
            <w:r>
              <w:t>1</w:t>
            </w:r>
          </w:p>
        </w:tc>
        <w:tc>
          <w:tcPr>
            <w:tcW w:w="0" w:type="auto"/>
            <w:hideMark/>
          </w:tcPr>
          <w:p w14:paraId="79360CCD" w14:textId="77777777" w:rsidR="00FE4DEF" w:rsidRDefault="00FE4DEF" w:rsidP="005A7A10">
            <w:pPr>
              <w:pStyle w:val="NormalWeb"/>
              <w:jc w:val="center"/>
            </w:pPr>
            <w:r>
              <w:t>0.2</w:t>
            </w:r>
          </w:p>
        </w:tc>
        <w:tc>
          <w:tcPr>
            <w:tcW w:w="0" w:type="auto"/>
            <w:hideMark/>
          </w:tcPr>
          <w:p w14:paraId="299619B2" w14:textId="77777777" w:rsidR="00FE4DEF" w:rsidRDefault="00FE4DEF" w:rsidP="005A7A10">
            <w:pPr>
              <w:pStyle w:val="NormalWeb"/>
              <w:jc w:val="center"/>
            </w:pPr>
            <w:r>
              <w:t>0</w:t>
            </w:r>
          </w:p>
        </w:tc>
        <w:tc>
          <w:tcPr>
            <w:tcW w:w="0" w:type="auto"/>
            <w:hideMark/>
          </w:tcPr>
          <w:p w14:paraId="7E649A00" w14:textId="77777777" w:rsidR="00FE4DEF" w:rsidRDefault="00FE4DEF" w:rsidP="005A7A10">
            <w:pPr>
              <w:pStyle w:val="NormalWeb"/>
              <w:jc w:val="center"/>
            </w:pPr>
            <w:r>
              <w:t>0.0</w:t>
            </w:r>
          </w:p>
        </w:tc>
        <w:tc>
          <w:tcPr>
            <w:tcW w:w="0" w:type="auto"/>
            <w:hideMark/>
          </w:tcPr>
          <w:p w14:paraId="7474F81E" w14:textId="77777777" w:rsidR="00FE4DEF" w:rsidRDefault="00FE4DEF" w:rsidP="005A7A10">
            <w:pPr>
              <w:pStyle w:val="NormalWeb"/>
              <w:jc w:val="center"/>
            </w:pPr>
            <w:r>
              <w:t>149</w:t>
            </w:r>
          </w:p>
        </w:tc>
        <w:tc>
          <w:tcPr>
            <w:tcW w:w="0" w:type="auto"/>
            <w:hideMark/>
          </w:tcPr>
          <w:p w14:paraId="465F9C7F" w14:textId="77777777" w:rsidR="00FE4DEF" w:rsidRDefault="00FE4DEF" w:rsidP="005A7A10">
            <w:pPr>
              <w:pStyle w:val="NormalWeb"/>
              <w:jc w:val="center"/>
            </w:pPr>
            <w:r>
              <w:t>27.9</w:t>
            </w:r>
          </w:p>
        </w:tc>
      </w:tr>
      <w:tr w:rsidR="00FE4DEF" w14:paraId="5339658E" w14:textId="77777777" w:rsidTr="005A7A10">
        <w:tc>
          <w:tcPr>
            <w:tcW w:w="0" w:type="auto"/>
            <w:hideMark/>
          </w:tcPr>
          <w:p w14:paraId="6BA70A49" w14:textId="77777777" w:rsidR="00FE4DEF" w:rsidRDefault="00FE4DEF">
            <w:pPr>
              <w:pStyle w:val="NormalWeb"/>
            </w:pPr>
            <w:r>
              <w:t>NT</w:t>
            </w:r>
          </w:p>
        </w:tc>
        <w:tc>
          <w:tcPr>
            <w:tcW w:w="0" w:type="auto"/>
            <w:hideMark/>
          </w:tcPr>
          <w:p w14:paraId="0242779A" w14:textId="77777777" w:rsidR="00FE4DEF" w:rsidRDefault="00FE4DEF" w:rsidP="005A7A10">
            <w:pPr>
              <w:pStyle w:val="NormalWeb"/>
              <w:jc w:val="center"/>
            </w:pPr>
            <w:r>
              <w:t>0</w:t>
            </w:r>
          </w:p>
        </w:tc>
        <w:tc>
          <w:tcPr>
            <w:tcW w:w="0" w:type="auto"/>
            <w:hideMark/>
          </w:tcPr>
          <w:p w14:paraId="4AF303C5" w14:textId="77777777" w:rsidR="00FE4DEF" w:rsidRDefault="00FE4DEF" w:rsidP="005A7A10">
            <w:pPr>
              <w:pStyle w:val="NormalWeb"/>
              <w:jc w:val="center"/>
            </w:pPr>
            <w:r>
              <w:t>0.0</w:t>
            </w:r>
          </w:p>
        </w:tc>
        <w:tc>
          <w:tcPr>
            <w:tcW w:w="0" w:type="auto"/>
            <w:hideMark/>
          </w:tcPr>
          <w:p w14:paraId="67E47894" w14:textId="77777777" w:rsidR="00FE4DEF" w:rsidRDefault="00FE4DEF" w:rsidP="005A7A10">
            <w:pPr>
              <w:pStyle w:val="NormalWeb"/>
              <w:jc w:val="center"/>
            </w:pPr>
            <w:r>
              <w:t>0</w:t>
            </w:r>
          </w:p>
        </w:tc>
        <w:tc>
          <w:tcPr>
            <w:tcW w:w="0" w:type="auto"/>
            <w:hideMark/>
          </w:tcPr>
          <w:p w14:paraId="42F2B8B5" w14:textId="77777777" w:rsidR="00FE4DEF" w:rsidRDefault="00FE4DEF" w:rsidP="005A7A10">
            <w:pPr>
              <w:pStyle w:val="NormalWeb"/>
              <w:jc w:val="center"/>
            </w:pPr>
            <w:r>
              <w:t>0.0</w:t>
            </w:r>
          </w:p>
        </w:tc>
        <w:tc>
          <w:tcPr>
            <w:tcW w:w="0" w:type="auto"/>
            <w:hideMark/>
          </w:tcPr>
          <w:p w14:paraId="74A4C3A7" w14:textId="77777777" w:rsidR="00FE4DEF" w:rsidRDefault="00FE4DEF" w:rsidP="005A7A10">
            <w:pPr>
              <w:pStyle w:val="NormalWeb"/>
              <w:jc w:val="center"/>
            </w:pPr>
            <w:r>
              <w:t>6</w:t>
            </w:r>
          </w:p>
        </w:tc>
        <w:tc>
          <w:tcPr>
            <w:tcW w:w="0" w:type="auto"/>
            <w:hideMark/>
          </w:tcPr>
          <w:p w14:paraId="6FF2DDF1" w14:textId="77777777" w:rsidR="00FE4DEF" w:rsidRDefault="00FE4DEF" w:rsidP="005A7A10">
            <w:pPr>
              <w:pStyle w:val="NormalWeb"/>
              <w:jc w:val="center"/>
            </w:pPr>
            <w:r>
              <w:t>2.4</w:t>
            </w:r>
          </w:p>
        </w:tc>
      </w:tr>
      <w:tr w:rsidR="00FE4DEF" w14:paraId="11318BF7" w14:textId="77777777" w:rsidTr="005A7A10">
        <w:trPr>
          <w:cnfStyle w:val="000000010000" w:firstRow="0" w:lastRow="0" w:firstColumn="0" w:lastColumn="0" w:oddVBand="0" w:evenVBand="0" w:oddHBand="0" w:evenHBand="1" w:firstRowFirstColumn="0" w:firstRowLastColumn="0" w:lastRowFirstColumn="0" w:lastRowLastColumn="0"/>
        </w:trPr>
        <w:tc>
          <w:tcPr>
            <w:tcW w:w="0" w:type="auto"/>
            <w:hideMark/>
          </w:tcPr>
          <w:p w14:paraId="5BF9CDEE" w14:textId="77777777" w:rsidR="00FE4DEF" w:rsidRDefault="00FE4DEF">
            <w:pPr>
              <w:pStyle w:val="NormalWeb"/>
            </w:pPr>
            <w:r>
              <w:t>ACT</w:t>
            </w:r>
          </w:p>
        </w:tc>
        <w:tc>
          <w:tcPr>
            <w:tcW w:w="0" w:type="auto"/>
            <w:hideMark/>
          </w:tcPr>
          <w:p w14:paraId="195DF908" w14:textId="77777777" w:rsidR="00FE4DEF" w:rsidRDefault="00FE4DEF" w:rsidP="005A7A10">
            <w:pPr>
              <w:pStyle w:val="NormalWeb"/>
              <w:jc w:val="center"/>
            </w:pPr>
            <w:r>
              <w:t>0</w:t>
            </w:r>
          </w:p>
        </w:tc>
        <w:tc>
          <w:tcPr>
            <w:tcW w:w="0" w:type="auto"/>
            <w:hideMark/>
          </w:tcPr>
          <w:p w14:paraId="45276C04" w14:textId="77777777" w:rsidR="00FE4DEF" w:rsidRDefault="00FE4DEF" w:rsidP="005A7A10">
            <w:pPr>
              <w:pStyle w:val="NormalWeb"/>
              <w:jc w:val="center"/>
            </w:pPr>
            <w:r>
              <w:t>0.0</w:t>
            </w:r>
          </w:p>
        </w:tc>
        <w:tc>
          <w:tcPr>
            <w:tcW w:w="0" w:type="auto"/>
            <w:hideMark/>
          </w:tcPr>
          <w:p w14:paraId="1467B391" w14:textId="77777777" w:rsidR="00FE4DEF" w:rsidRDefault="00FE4DEF" w:rsidP="005A7A10">
            <w:pPr>
              <w:pStyle w:val="NormalWeb"/>
              <w:jc w:val="center"/>
            </w:pPr>
            <w:r>
              <w:t>0</w:t>
            </w:r>
          </w:p>
        </w:tc>
        <w:tc>
          <w:tcPr>
            <w:tcW w:w="0" w:type="auto"/>
            <w:hideMark/>
          </w:tcPr>
          <w:p w14:paraId="69607A8B" w14:textId="77777777" w:rsidR="00FE4DEF" w:rsidRDefault="00FE4DEF" w:rsidP="005A7A10">
            <w:pPr>
              <w:pStyle w:val="NormalWeb"/>
              <w:jc w:val="center"/>
            </w:pPr>
            <w:r>
              <w:t>0.0</w:t>
            </w:r>
          </w:p>
        </w:tc>
        <w:tc>
          <w:tcPr>
            <w:tcW w:w="0" w:type="auto"/>
            <w:hideMark/>
          </w:tcPr>
          <w:p w14:paraId="354A2188" w14:textId="77777777" w:rsidR="00FE4DEF" w:rsidRDefault="00FE4DEF" w:rsidP="005A7A10">
            <w:pPr>
              <w:pStyle w:val="NormalWeb"/>
              <w:jc w:val="center"/>
            </w:pPr>
            <w:r>
              <w:t>29</w:t>
            </w:r>
          </w:p>
        </w:tc>
        <w:tc>
          <w:tcPr>
            <w:tcW w:w="0" w:type="auto"/>
            <w:hideMark/>
          </w:tcPr>
          <w:p w14:paraId="77F51B9F" w14:textId="77777777" w:rsidR="00FE4DEF" w:rsidRDefault="00FE4DEF" w:rsidP="005A7A10">
            <w:pPr>
              <w:pStyle w:val="NormalWeb"/>
              <w:jc w:val="center"/>
            </w:pPr>
            <w:r>
              <w:t>6.8</w:t>
            </w:r>
          </w:p>
        </w:tc>
      </w:tr>
      <w:tr w:rsidR="009829E9" w:rsidRPr="009829E9" w14:paraId="793A15D4" w14:textId="77777777" w:rsidTr="009829E9">
        <w:tc>
          <w:tcPr>
            <w:tcW w:w="0" w:type="auto"/>
            <w:shd w:val="clear" w:color="auto" w:fill="FDE9D9" w:themeFill="accent6" w:themeFillTint="33"/>
            <w:hideMark/>
          </w:tcPr>
          <w:p w14:paraId="34D3371B" w14:textId="77777777" w:rsidR="00FE4DEF" w:rsidRPr="009829E9" w:rsidRDefault="00FE4DEF">
            <w:pPr>
              <w:pStyle w:val="NormalWeb"/>
              <w:rPr>
                <w:b/>
              </w:rPr>
            </w:pPr>
            <w:r w:rsidRPr="009829E9">
              <w:rPr>
                <w:b/>
              </w:rPr>
              <w:t>Australia</w:t>
            </w:r>
          </w:p>
        </w:tc>
        <w:tc>
          <w:tcPr>
            <w:tcW w:w="0" w:type="auto"/>
            <w:shd w:val="clear" w:color="auto" w:fill="FDE9D9" w:themeFill="accent6" w:themeFillTint="33"/>
            <w:hideMark/>
          </w:tcPr>
          <w:p w14:paraId="25F5DF60" w14:textId="77777777" w:rsidR="00FE4DEF" w:rsidRPr="009829E9" w:rsidRDefault="00FE4DEF" w:rsidP="005A7A10">
            <w:pPr>
              <w:pStyle w:val="NormalWeb"/>
              <w:jc w:val="center"/>
              <w:rPr>
                <w:b/>
              </w:rPr>
            </w:pPr>
            <w:r w:rsidRPr="009829E9">
              <w:rPr>
                <w:b/>
              </w:rPr>
              <w:t>4,468</w:t>
            </w:r>
          </w:p>
        </w:tc>
        <w:tc>
          <w:tcPr>
            <w:tcW w:w="0" w:type="auto"/>
            <w:shd w:val="clear" w:color="auto" w:fill="FDE9D9" w:themeFill="accent6" w:themeFillTint="33"/>
            <w:hideMark/>
          </w:tcPr>
          <w:p w14:paraId="6487342C" w14:textId="77777777" w:rsidR="00FE4DEF" w:rsidRPr="009829E9" w:rsidRDefault="00FE4DEF" w:rsidP="005A7A10">
            <w:pPr>
              <w:pStyle w:val="NormalWeb"/>
              <w:jc w:val="center"/>
              <w:rPr>
                <w:b/>
              </w:rPr>
            </w:pPr>
            <w:r w:rsidRPr="009829E9">
              <w:rPr>
                <w:b/>
              </w:rPr>
              <w:t>17.6</w:t>
            </w:r>
          </w:p>
        </w:tc>
        <w:tc>
          <w:tcPr>
            <w:tcW w:w="0" w:type="auto"/>
            <w:shd w:val="clear" w:color="auto" w:fill="FDE9D9" w:themeFill="accent6" w:themeFillTint="33"/>
            <w:hideMark/>
          </w:tcPr>
          <w:p w14:paraId="31E97512" w14:textId="77777777" w:rsidR="00FE4DEF" w:rsidRPr="009829E9" w:rsidRDefault="00FE4DEF" w:rsidP="005A7A10">
            <w:pPr>
              <w:pStyle w:val="NormalWeb"/>
              <w:jc w:val="center"/>
              <w:rPr>
                <w:b/>
              </w:rPr>
            </w:pPr>
            <w:r w:rsidRPr="009829E9">
              <w:rPr>
                <w:b/>
              </w:rPr>
              <w:t>1,729</w:t>
            </w:r>
          </w:p>
        </w:tc>
        <w:tc>
          <w:tcPr>
            <w:tcW w:w="0" w:type="auto"/>
            <w:shd w:val="clear" w:color="auto" w:fill="FDE9D9" w:themeFill="accent6" w:themeFillTint="33"/>
            <w:hideMark/>
          </w:tcPr>
          <w:p w14:paraId="643CFB65" w14:textId="77777777" w:rsidR="00FE4DEF" w:rsidRPr="009829E9" w:rsidRDefault="00FE4DEF" w:rsidP="005A7A10">
            <w:pPr>
              <w:pStyle w:val="NormalWeb"/>
              <w:jc w:val="center"/>
              <w:rPr>
                <w:b/>
              </w:rPr>
            </w:pPr>
            <w:r w:rsidRPr="009829E9">
              <w:rPr>
                <w:b/>
              </w:rPr>
              <w:t>6.8</w:t>
            </w:r>
          </w:p>
        </w:tc>
        <w:tc>
          <w:tcPr>
            <w:tcW w:w="0" w:type="auto"/>
            <w:shd w:val="clear" w:color="auto" w:fill="FDE9D9" w:themeFill="accent6" w:themeFillTint="33"/>
            <w:hideMark/>
          </w:tcPr>
          <w:p w14:paraId="128532F4" w14:textId="77777777" w:rsidR="00FE4DEF" w:rsidRPr="009829E9" w:rsidRDefault="00FE4DEF" w:rsidP="005A7A10">
            <w:pPr>
              <w:pStyle w:val="NormalWeb"/>
              <w:jc w:val="center"/>
              <w:rPr>
                <w:b/>
              </w:rPr>
            </w:pPr>
            <w:r w:rsidRPr="009829E9">
              <w:rPr>
                <w:b/>
              </w:rPr>
              <w:t>20,492</w:t>
            </w:r>
          </w:p>
        </w:tc>
        <w:tc>
          <w:tcPr>
            <w:tcW w:w="0" w:type="auto"/>
            <w:shd w:val="clear" w:color="auto" w:fill="FDE9D9" w:themeFill="accent6" w:themeFillTint="33"/>
            <w:hideMark/>
          </w:tcPr>
          <w:p w14:paraId="1B006547" w14:textId="77777777" w:rsidR="00FE4DEF" w:rsidRPr="009829E9" w:rsidRDefault="00FE4DEF" w:rsidP="005A7A10">
            <w:pPr>
              <w:pStyle w:val="NormalWeb"/>
              <w:jc w:val="center"/>
              <w:rPr>
                <w:b/>
              </w:rPr>
            </w:pPr>
            <w:r w:rsidRPr="009829E9">
              <w:rPr>
                <w:b/>
              </w:rPr>
              <w:t>80.8</w:t>
            </w:r>
          </w:p>
        </w:tc>
      </w:tr>
    </w:tbl>
    <w:p w14:paraId="44645955" w14:textId="77777777" w:rsidR="009829E9" w:rsidRDefault="009829E9" w:rsidP="00B21656"/>
    <w:p w14:paraId="58C3DA55" w14:textId="77777777" w:rsidR="00FE4DEF" w:rsidRDefault="00FE4DEF" w:rsidP="00B21656">
      <w:r>
        <w:t xml:space="preserve">In Victoria, the rate of infection for locally-acquired cases decreased from 65.8 per 100,000 population (last reporting period) to 24.9 per 100,000 population (this reporting period). For this reporting period, the infection rate in all other jurisdictions was less than 0.8 per 100,000 population. </w:t>
      </w:r>
    </w:p>
    <w:p w14:paraId="6C9BE184" w14:textId="77777777" w:rsidR="00FE4DEF" w:rsidRPr="00B21656" w:rsidRDefault="00FE4DEF" w:rsidP="00B21656">
      <w:pPr>
        <w:pStyle w:val="Heading1"/>
      </w:pPr>
      <w:r w:rsidRPr="00B21656">
        <w:t xml:space="preserve">Clusters and outbreaks </w:t>
      </w:r>
    </w:p>
    <w:p w14:paraId="332781B6" w14:textId="77777777" w:rsidR="00FE4DEF" w:rsidRDefault="00FE4DEF" w:rsidP="00B21656">
      <w:r>
        <w:t xml:space="preserve">Nationally, excluding New South Wales, for the fortnight ending 30 August, there were a total of 152 open outbreaks (defined as those where a new epidemiologically-linked case was identified in the previous 14 days). Of these, most were reported from Victoria, with open outbreaks also reported from Queensland. Outbreaks were reported most frequently from residential aged care settings (70) followed by workplaces (29), hospitals (24), healthcare facilities (10) and educational facilities (10). Outbreaks ranged in size, with the largest outbreak encompassing 217 cases in a residential aged care facility. Prominent workplace settings included warehouses, abattoirs/meat packing facilities, distribution centres and manufacturers. </w:t>
      </w:r>
    </w:p>
    <w:p w14:paraId="0DA7E73B" w14:textId="77777777" w:rsidR="00FE4DEF" w:rsidRDefault="00FE4DEF" w:rsidP="00B21656">
      <w:r>
        <w:t>Residents of aged care facilities are at increased risk of COVID-19 infection due to the environment of communal living facilities and are more vulnerable to serious complications if they do become infected. As at 30 August 2020, there have been 3,723 cases of COVID-19 associated with 207 residential aged care facilities, with 2,103 recoveries and 412 deaths. 1,870 of these cases occurred in aged care residents, with the remaining 1,853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w:t>
      </w:r>
      <w:proofErr w:type="gramStart"/>
      <w:r>
        <w:rPr>
          <w:vertAlign w:val="superscript"/>
        </w:rPr>
        <w:t>,2</w:t>
      </w:r>
      <w:proofErr w:type="gramEnd"/>
      <w:r>
        <w:rPr>
          <w:vertAlign w:val="superscript"/>
        </w:rPr>
        <w:t xml:space="preserve"> </w:t>
      </w:r>
    </w:p>
    <w:p w14:paraId="7D5E7A2D" w14:textId="77777777" w:rsidR="00E762DF" w:rsidRDefault="00E762DF">
      <w:pPr>
        <w:rPr>
          <w:rFonts w:asciiTheme="majorHAnsi" w:eastAsiaTheme="majorEastAsia" w:hAnsiTheme="majorHAnsi" w:cstheme="majorBidi"/>
          <w:b/>
          <w:bCs/>
          <w:sz w:val="32"/>
          <w:szCs w:val="28"/>
        </w:rPr>
      </w:pPr>
    </w:p>
    <w:p w14:paraId="2C8215F2" w14:textId="77777777" w:rsidR="002640FE" w:rsidRDefault="002640FE" w:rsidP="002640FE">
      <w:pPr>
        <w:pStyle w:val="CDIFigures"/>
        <w:sectPr w:rsidR="002640FE" w:rsidSect="00A30C37">
          <w:footnotePr>
            <w:numFmt w:val="lowerRoman"/>
          </w:footnotePr>
          <w:pgSz w:w="11906" w:h="16838"/>
          <w:pgMar w:top="720" w:right="720" w:bottom="1134" w:left="720" w:header="709" w:footer="284" w:gutter="0"/>
          <w:cols w:space="708"/>
          <w:titlePg/>
          <w:docGrid w:linePitch="360"/>
        </w:sectPr>
      </w:pPr>
    </w:p>
    <w:p w14:paraId="1590B9A9" w14:textId="77777777" w:rsidR="00FE4DEF" w:rsidRDefault="00FE4DEF" w:rsidP="002640FE">
      <w:pPr>
        <w:pStyle w:val="CDIFigures"/>
      </w:pPr>
      <w:r>
        <w:lastRenderedPageBreak/>
        <w:t>Table 3. Diagnostic tests performed in Australia, by jurisdiction, as at 30 August 2020</w:t>
      </w:r>
      <w:r w:rsidRPr="00683A1A">
        <w:rPr>
          <w:vertAlign w:val="superscript"/>
        </w:rPr>
        <w:t>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3 shows the cumulative number of SARS-CoV-2 diagnostic nucleic acid tests performed (and the percentage of such tests positive) within each jurisdiction by the end of this reporting fortnight, as well as at the end of the previous reporting fortnight. Nationwide, for this reporting period there have been 870,671 tests performed, with a positivity rate of 0.27%. Of all tests performed in Australia since 13 January 2020 (6,168,229 tests), the cumulative testing rate is 24,322 tests per 100,000 population and the positivity rate is 0.42%.&#10;"/>
      </w:tblPr>
      <w:tblGrid>
        <w:gridCol w:w="1157"/>
        <w:gridCol w:w="1531"/>
        <w:gridCol w:w="1531"/>
        <w:gridCol w:w="1532"/>
        <w:gridCol w:w="1531"/>
        <w:gridCol w:w="1532"/>
        <w:gridCol w:w="1531"/>
        <w:gridCol w:w="1532"/>
        <w:gridCol w:w="1531"/>
        <w:gridCol w:w="1532"/>
      </w:tblGrid>
      <w:tr w:rsidR="00E762DF" w:rsidRPr="00E762DF" w14:paraId="7BBFCDCD" w14:textId="77777777" w:rsidTr="008B0EA0">
        <w:trPr>
          <w:cnfStyle w:val="100000000000" w:firstRow="1" w:lastRow="0" w:firstColumn="0" w:lastColumn="0" w:oddVBand="0" w:evenVBand="0" w:oddHBand="0" w:evenHBand="0" w:firstRowFirstColumn="0" w:firstRowLastColumn="0" w:lastRowFirstColumn="0" w:lastRowLastColumn="0"/>
          <w:tblHeader/>
        </w:trPr>
        <w:tc>
          <w:tcPr>
            <w:tcW w:w="1157" w:type="dxa"/>
            <w:vMerge w:val="restart"/>
            <w:tcBorders>
              <w:bottom w:val="single" w:sz="2" w:space="0" w:color="FFFFFF" w:themeColor="background1"/>
              <w:right w:val="single" w:sz="2" w:space="0" w:color="FFFFFF" w:themeColor="background1"/>
            </w:tcBorders>
            <w:hideMark/>
          </w:tcPr>
          <w:p w14:paraId="6C2F4C94" w14:textId="77777777" w:rsidR="00FE4DEF" w:rsidRPr="00E762DF" w:rsidRDefault="00FE4DEF">
            <w:pPr>
              <w:pStyle w:val="NormalWeb"/>
              <w:rPr>
                <w:color w:val="FFFFFF" w:themeColor="background1"/>
              </w:rPr>
            </w:pPr>
            <w:r w:rsidRPr="00E762DF">
              <w:rPr>
                <w:color w:val="FFFFFF" w:themeColor="background1"/>
              </w:rPr>
              <w:t>Jurisdiction</w:t>
            </w:r>
          </w:p>
        </w:tc>
        <w:tc>
          <w:tcPr>
            <w:tcW w:w="4594" w:type="dxa"/>
            <w:gridSpan w:val="3"/>
            <w:tcBorders>
              <w:left w:val="single" w:sz="2" w:space="0" w:color="FFFFFF" w:themeColor="background1"/>
              <w:bottom w:val="single" w:sz="2" w:space="0" w:color="FFFFFF" w:themeColor="background1"/>
              <w:right w:val="single" w:sz="2" w:space="0" w:color="FFFFFF" w:themeColor="background1"/>
            </w:tcBorders>
            <w:hideMark/>
          </w:tcPr>
          <w:p w14:paraId="6D99AED7" w14:textId="77777777" w:rsidR="00FE4DEF" w:rsidRPr="00E762DF" w:rsidRDefault="00FE4DEF" w:rsidP="00E762DF">
            <w:pPr>
              <w:pStyle w:val="NormalWeb"/>
              <w:jc w:val="center"/>
              <w:rPr>
                <w:color w:val="FFFFFF" w:themeColor="background1"/>
              </w:rPr>
            </w:pPr>
            <w:r w:rsidRPr="00E762DF">
              <w:rPr>
                <w:color w:val="FFFFFF" w:themeColor="background1"/>
              </w:rPr>
              <w:t>Tests performed</w:t>
            </w:r>
          </w:p>
        </w:tc>
        <w:tc>
          <w:tcPr>
            <w:tcW w:w="4594" w:type="dxa"/>
            <w:gridSpan w:val="3"/>
            <w:tcBorders>
              <w:left w:val="single" w:sz="2" w:space="0" w:color="FFFFFF" w:themeColor="background1"/>
              <w:bottom w:val="single" w:sz="2" w:space="0" w:color="FFFFFF" w:themeColor="background1"/>
              <w:right w:val="single" w:sz="2" w:space="0" w:color="FFFFFF" w:themeColor="background1"/>
            </w:tcBorders>
            <w:hideMark/>
          </w:tcPr>
          <w:p w14:paraId="3BD56FA8" w14:textId="77777777" w:rsidR="00FE4DEF" w:rsidRPr="00E762DF" w:rsidRDefault="00FE4DEF" w:rsidP="00E762DF">
            <w:pPr>
              <w:pStyle w:val="NormalWeb"/>
              <w:jc w:val="center"/>
              <w:rPr>
                <w:color w:val="FFFFFF" w:themeColor="background1"/>
              </w:rPr>
            </w:pPr>
            <w:r w:rsidRPr="00E762DF">
              <w:rPr>
                <w:color w:val="FFFFFF" w:themeColor="background1"/>
              </w:rPr>
              <w:t>Tests performed</w:t>
            </w:r>
          </w:p>
        </w:tc>
        <w:tc>
          <w:tcPr>
            <w:tcW w:w="4595" w:type="dxa"/>
            <w:gridSpan w:val="3"/>
            <w:tcBorders>
              <w:left w:val="single" w:sz="2" w:space="0" w:color="FFFFFF" w:themeColor="background1"/>
              <w:bottom w:val="single" w:sz="2" w:space="0" w:color="FFFFFF" w:themeColor="background1"/>
            </w:tcBorders>
            <w:hideMark/>
          </w:tcPr>
          <w:p w14:paraId="06295C1F" w14:textId="77777777" w:rsidR="00FE4DEF" w:rsidRPr="00E762DF" w:rsidRDefault="00FE4DEF" w:rsidP="00E762DF">
            <w:pPr>
              <w:pStyle w:val="NormalWeb"/>
              <w:jc w:val="center"/>
              <w:rPr>
                <w:color w:val="FFFFFF" w:themeColor="background1"/>
              </w:rPr>
            </w:pPr>
            <w:r w:rsidRPr="00E762DF">
              <w:rPr>
                <w:color w:val="FFFFFF" w:themeColor="background1"/>
              </w:rPr>
              <w:t>Cumulative tests performed</w:t>
            </w:r>
          </w:p>
        </w:tc>
      </w:tr>
      <w:tr w:rsidR="00E762DF" w:rsidRPr="00E762DF" w14:paraId="3377D3DC" w14:textId="77777777" w:rsidTr="008B0EA0">
        <w:trPr>
          <w:cnfStyle w:val="100000000000" w:firstRow="1" w:lastRow="0" w:firstColumn="0" w:lastColumn="0" w:oddVBand="0" w:evenVBand="0" w:oddHBand="0" w:evenHBand="0" w:firstRowFirstColumn="0" w:firstRowLastColumn="0" w:lastRowFirstColumn="0" w:lastRowLastColumn="0"/>
          <w:tblHeader/>
        </w:trPr>
        <w:tc>
          <w:tcPr>
            <w:tcW w:w="1157" w:type="dxa"/>
            <w:vMerge/>
            <w:tcBorders>
              <w:top w:val="single" w:sz="2" w:space="0" w:color="FFFFFF" w:themeColor="background1"/>
              <w:bottom w:val="single" w:sz="2" w:space="0" w:color="FFFFFF" w:themeColor="background1"/>
              <w:right w:val="single" w:sz="2" w:space="0" w:color="FFFFFF" w:themeColor="background1"/>
            </w:tcBorders>
            <w:hideMark/>
          </w:tcPr>
          <w:p w14:paraId="084728B0" w14:textId="77777777" w:rsidR="00FE4DEF" w:rsidRPr="00E762DF" w:rsidRDefault="00FE4DEF">
            <w:pPr>
              <w:rPr>
                <w:color w:val="FFFFFF" w:themeColor="background1"/>
                <w:sz w:val="24"/>
                <w:szCs w:val="24"/>
              </w:rPr>
            </w:pPr>
          </w:p>
        </w:tc>
        <w:tc>
          <w:tcPr>
            <w:tcW w:w="45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CF09B1D" w14:textId="77777777" w:rsidR="00FE4DEF" w:rsidRPr="00E762DF" w:rsidRDefault="00FE4DEF" w:rsidP="00E762DF">
            <w:pPr>
              <w:pStyle w:val="NormalWeb"/>
              <w:jc w:val="center"/>
              <w:rPr>
                <w:color w:val="FFFFFF" w:themeColor="background1"/>
              </w:rPr>
            </w:pPr>
            <w:r w:rsidRPr="00E762DF">
              <w:rPr>
                <w:color w:val="FFFFFF" w:themeColor="background1"/>
              </w:rPr>
              <w:t>3 August - 16 August</w:t>
            </w:r>
          </w:p>
        </w:tc>
        <w:tc>
          <w:tcPr>
            <w:tcW w:w="45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57B83B3" w14:textId="77777777" w:rsidR="00FE4DEF" w:rsidRPr="00E762DF" w:rsidRDefault="00FE4DEF" w:rsidP="00E762DF">
            <w:pPr>
              <w:pStyle w:val="NormalWeb"/>
              <w:jc w:val="center"/>
              <w:rPr>
                <w:color w:val="FFFFFF" w:themeColor="background1"/>
              </w:rPr>
            </w:pPr>
            <w:r w:rsidRPr="00E762DF">
              <w:rPr>
                <w:color w:val="FFFFFF" w:themeColor="background1"/>
              </w:rPr>
              <w:t>17 August—30 August</w:t>
            </w:r>
          </w:p>
        </w:tc>
        <w:tc>
          <w:tcPr>
            <w:tcW w:w="4595" w:type="dxa"/>
            <w:gridSpan w:val="3"/>
            <w:tcBorders>
              <w:top w:val="single" w:sz="2" w:space="0" w:color="FFFFFF" w:themeColor="background1"/>
              <w:left w:val="single" w:sz="2" w:space="0" w:color="FFFFFF" w:themeColor="background1"/>
              <w:bottom w:val="single" w:sz="2" w:space="0" w:color="FFFFFF" w:themeColor="background1"/>
            </w:tcBorders>
            <w:hideMark/>
          </w:tcPr>
          <w:p w14:paraId="0E782D8B" w14:textId="77777777" w:rsidR="00FE4DEF" w:rsidRPr="00E762DF" w:rsidRDefault="00FE4DEF" w:rsidP="00E762DF">
            <w:pPr>
              <w:pStyle w:val="NormalWeb"/>
              <w:jc w:val="center"/>
              <w:rPr>
                <w:color w:val="FFFFFF" w:themeColor="background1"/>
              </w:rPr>
            </w:pPr>
            <w:r w:rsidRPr="00E762DF">
              <w:rPr>
                <w:color w:val="FFFFFF" w:themeColor="background1"/>
              </w:rPr>
              <w:t>to 30 August</w:t>
            </w:r>
          </w:p>
        </w:tc>
      </w:tr>
      <w:tr w:rsidR="00E762DF" w:rsidRPr="00E762DF" w14:paraId="7F1CEBD0" w14:textId="77777777" w:rsidTr="008B0EA0">
        <w:trPr>
          <w:cnfStyle w:val="100000000000" w:firstRow="1" w:lastRow="0" w:firstColumn="0" w:lastColumn="0" w:oddVBand="0" w:evenVBand="0" w:oddHBand="0" w:evenHBand="0" w:firstRowFirstColumn="0" w:firstRowLastColumn="0" w:lastRowFirstColumn="0" w:lastRowLastColumn="0"/>
          <w:tblHeader/>
        </w:trPr>
        <w:tc>
          <w:tcPr>
            <w:tcW w:w="1157" w:type="dxa"/>
            <w:tcBorders>
              <w:top w:val="single" w:sz="2" w:space="0" w:color="FFFFFF" w:themeColor="background1"/>
              <w:right w:val="single" w:sz="2" w:space="0" w:color="FFFFFF" w:themeColor="background1"/>
            </w:tcBorders>
            <w:hideMark/>
          </w:tcPr>
          <w:p w14:paraId="170778C4" w14:textId="77777777" w:rsidR="00FE4DEF" w:rsidRPr="00E762DF" w:rsidRDefault="00FE4DEF">
            <w:pPr>
              <w:rPr>
                <w:color w:val="FFFFFF" w:themeColor="background1"/>
              </w:rPr>
            </w:pP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14B0A284" w14:textId="77777777" w:rsidR="00FE4DEF" w:rsidRPr="00E762DF" w:rsidRDefault="00FE4DEF" w:rsidP="00E762DF">
            <w:pPr>
              <w:pStyle w:val="NormalWeb"/>
              <w:jc w:val="center"/>
              <w:rPr>
                <w:color w:val="FFFFFF" w:themeColor="background1"/>
                <w:sz w:val="24"/>
                <w:szCs w:val="24"/>
              </w:rPr>
            </w:pPr>
            <w:r w:rsidRPr="00E762DF">
              <w:rPr>
                <w:color w:val="FFFFFF" w:themeColor="background1"/>
              </w:rPr>
              <w:t>N</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575754FA" w14:textId="77777777" w:rsidR="00FE4DEF" w:rsidRPr="00E762DF" w:rsidRDefault="00FE4DEF" w:rsidP="00E762DF">
            <w:pPr>
              <w:pStyle w:val="NormalWeb"/>
              <w:jc w:val="center"/>
              <w:rPr>
                <w:color w:val="FFFFFF" w:themeColor="background1"/>
              </w:rPr>
            </w:pPr>
            <w:r w:rsidRPr="00E762DF">
              <w:rPr>
                <w:color w:val="FFFFFF" w:themeColor="background1"/>
              </w:rPr>
              <w:t>Positivity (%)</w:t>
            </w:r>
          </w:p>
        </w:tc>
        <w:tc>
          <w:tcPr>
            <w:tcW w:w="1532" w:type="dxa"/>
            <w:tcBorders>
              <w:top w:val="single" w:sz="2" w:space="0" w:color="FFFFFF" w:themeColor="background1"/>
              <w:left w:val="single" w:sz="2" w:space="0" w:color="FFFFFF" w:themeColor="background1"/>
              <w:right w:val="single" w:sz="2" w:space="0" w:color="FFFFFF" w:themeColor="background1"/>
            </w:tcBorders>
            <w:hideMark/>
          </w:tcPr>
          <w:p w14:paraId="4C63EF69" w14:textId="77777777" w:rsidR="00FE4DEF" w:rsidRPr="00E762DF" w:rsidRDefault="00FE4DEF" w:rsidP="00E762DF">
            <w:pPr>
              <w:pStyle w:val="NormalWeb"/>
              <w:jc w:val="center"/>
              <w:rPr>
                <w:color w:val="FFFFFF" w:themeColor="background1"/>
              </w:rPr>
            </w:pPr>
            <w:r w:rsidRPr="00E762DF">
              <w:rPr>
                <w:color w:val="FFFFFF" w:themeColor="background1"/>
              </w:rPr>
              <w:t xml:space="preserve">Per 100,000 population </w:t>
            </w:r>
            <w:proofErr w:type="spellStart"/>
            <w:r w:rsidRPr="002640FE">
              <w:rPr>
                <w:color w:val="FFFFFF" w:themeColor="background1"/>
                <w:vertAlign w:val="superscript"/>
              </w:rPr>
              <w:t>a,b</w:t>
            </w:r>
            <w:proofErr w:type="spellEnd"/>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30E45AE6" w14:textId="77777777" w:rsidR="00FE4DEF" w:rsidRPr="00E762DF" w:rsidRDefault="00FE4DEF" w:rsidP="00E762DF">
            <w:pPr>
              <w:pStyle w:val="NormalWeb"/>
              <w:jc w:val="center"/>
              <w:rPr>
                <w:color w:val="FFFFFF" w:themeColor="background1"/>
              </w:rPr>
            </w:pPr>
            <w:r w:rsidRPr="00E762DF">
              <w:rPr>
                <w:color w:val="FFFFFF" w:themeColor="background1"/>
              </w:rPr>
              <w:t>N</w:t>
            </w:r>
          </w:p>
        </w:tc>
        <w:tc>
          <w:tcPr>
            <w:tcW w:w="1532" w:type="dxa"/>
            <w:tcBorders>
              <w:top w:val="single" w:sz="2" w:space="0" w:color="FFFFFF" w:themeColor="background1"/>
              <w:left w:val="single" w:sz="2" w:space="0" w:color="FFFFFF" w:themeColor="background1"/>
              <w:right w:val="single" w:sz="2" w:space="0" w:color="FFFFFF" w:themeColor="background1"/>
            </w:tcBorders>
            <w:hideMark/>
          </w:tcPr>
          <w:p w14:paraId="437FF588" w14:textId="77777777" w:rsidR="00FE4DEF" w:rsidRPr="00E762DF" w:rsidRDefault="00FE4DEF" w:rsidP="00E762DF">
            <w:pPr>
              <w:pStyle w:val="NormalWeb"/>
              <w:jc w:val="center"/>
              <w:rPr>
                <w:color w:val="FFFFFF" w:themeColor="background1"/>
              </w:rPr>
            </w:pPr>
            <w:r w:rsidRPr="00E762DF">
              <w:rPr>
                <w:color w:val="FFFFFF" w:themeColor="background1"/>
              </w:rPr>
              <w:t>Positivity (%)</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1EFB434A" w14:textId="77777777" w:rsidR="00FE4DEF" w:rsidRPr="00E762DF" w:rsidRDefault="00FE4DEF" w:rsidP="00E762DF">
            <w:pPr>
              <w:pStyle w:val="NormalWeb"/>
              <w:jc w:val="center"/>
              <w:rPr>
                <w:color w:val="FFFFFF" w:themeColor="background1"/>
              </w:rPr>
            </w:pPr>
            <w:r w:rsidRPr="00E762DF">
              <w:rPr>
                <w:color w:val="FFFFFF" w:themeColor="background1"/>
              </w:rPr>
              <w:t xml:space="preserve">Per 100,000 population </w:t>
            </w:r>
            <w:proofErr w:type="spellStart"/>
            <w:r w:rsidRPr="002640FE">
              <w:rPr>
                <w:color w:val="FFFFFF" w:themeColor="background1"/>
                <w:vertAlign w:val="superscript"/>
              </w:rPr>
              <w:t>a,b</w:t>
            </w:r>
            <w:proofErr w:type="spellEnd"/>
          </w:p>
        </w:tc>
        <w:tc>
          <w:tcPr>
            <w:tcW w:w="1532" w:type="dxa"/>
            <w:tcBorders>
              <w:top w:val="single" w:sz="2" w:space="0" w:color="FFFFFF" w:themeColor="background1"/>
              <w:left w:val="single" w:sz="2" w:space="0" w:color="FFFFFF" w:themeColor="background1"/>
              <w:right w:val="single" w:sz="2" w:space="0" w:color="FFFFFF" w:themeColor="background1"/>
            </w:tcBorders>
            <w:hideMark/>
          </w:tcPr>
          <w:p w14:paraId="28514267" w14:textId="77777777" w:rsidR="00FE4DEF" w:rsidRPr="00E762DF" w:rsidRDefault="00FE4DEF" w:rsidP="00E762DF">
            <w:pPr>
              <w:pStyle w:val="NormalWeb"/>
              <w:jc w:val="center"/>
              <w:rPr>
                <w:color w:val="FFFFFF" w:themeColor="background1"/>
              </w:rPr>
            </w:pPr>
            <w:r w:rsidRPr="00E762DF">
              <w:rPr>
                <w:color w:val="FFFFFF" w:themeColor="background1"/>
              </w:rPr>
              <w:t>N</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506D3F0F" w14:textId="77777777" w:rsidR="00FE4DEF" w:rsidRPr="00E762DF" w:rsidRDefault="00FE4DEF" w:rsidP="00E762DF">
            <w:pPr>
              <w:pStyle w:val="NormalWeb"/>
              <w:jc w:val="center"/>
              <w:rPr>
                <w:color w:val="FFFFFF" w:themeColor="background1"/>
              </w:rPr>
            </w:pPr>
            <w:r w:rsidRPr="00E762DF">
              <w:rPr>
                <w:color w:val="FFFFFF" w:themeColor="background1"/>
              </w:rPr>
              <w:t>Positivity (%)</w:t>
            </w:r>
          </w:p>
        </w:tc>
        <w:tc>
          <w:tcPr>
            <w:tcW w:w="1532" w:type="dxa"/>
            <w:tcBorders>
              <w:top w:val="single" w:sz="2" w:space="0" w:color="FFFFFF" w:themeColor="background1"/>
              <w:left w:val="single" w:sz="2" w:space="0" w:color="FFFFFF" w:themeColor="background1"/>
            </w:tcBorders>
            <w:hideMark/>
          </w:tcPr>
          <w:p w14:paraId="0A1913E5" w14:textId="77777777" w:rsidR="00FE4DEF" w:rsidRPr="00E762DF" w:rsidRDefault="00FE4DEF" w:rsidP="00E762DF">
            <w:pPr>
              <w:pStyle w:val="NormalWeb"/>
              <w:jc w:val="center"/>
              <w:rPr>
                <w:color w:val="FFFFFF" w:themeColor="background1"/>
              </w:rPr>
            </w:pPr>
            <w:r w:rsidRPr="00E762DF">
              <w:rPr>
                <w:color w:val="FFFFFF" w:themeColor="background1"/>
              </w:rPr>
              <w:t xml:space="preserve">Per 100,000 population </w:t>
            </w:r>
            <w:proofErr w:type="spellStart"/>
            <w:r w:rsidRPr="002640FE">
              <w:rPr>
                <w:color w:val="FFFFFF" w:themeColor="background1"/>
                <w:vertAlign w:val="superscript"/>
              </w:rPr>
              <w:t>a,b</w:t>
            </w:r>
            <w:proofErr w:type="spellEnd"/>
          </w:p>
        </w:tc>
      </w:tr>
      <w:tr w:rsidR="002640FE" w14:paraId="7820565D" w14:textId="77777777" w:rsidTr="002640FE">
        <w:tc>
          <w:tcPr>
            <w:tcW w:w="1157" w:type="dxa"/>
            <w:hideMark/>
          </w:tcPr>
          <w:p w14:paraId="138F908A" w14:textId="77777777" w:rsidR="00FE4DEF" w:rsidRDefault="00FE4DEF">
            <w:pPr>
              <w:pStyle w:val="NormalWeb"/>
            </w:pPr>
            <w:r>
              <w:t>NSW</w:t>
            </w:r>
          </w:p>
        </w:tc>
        <w:tc>
          <w:tcPr>
            <w:tcW w:w="1531" w:type="dxa"/>
            <w:hideMark/>
          </w:tcPr>
          <w:p w14:paraId="05A8A8EC" w14:textId="77777777" w:rsidR="00FE4DEF" w:rsidRDefault="00FE4DEF" w:rsidP="00E762DF">
            <w:pPr>
              <w:pStyle w:val="NormalWeb"/>
              <w:jc w:val="center"/>
            </w:pPr>
            <w:r>
              <w:t>324,940</w:t>
            </w:r>
          </w:p>
        </w:tc>
        <w:tc>
          <w:tcPr>
            <w:tcW w:w="1531" w:type="dxa"/>
            <w:hideMark/>
          </w:tcPr>
          <w:p w14:paraId="32650E59" w14:textId="77777777" w:rsidR="00FE4DEF" w:rsidRDefault="00FE4DEF" w:rsidP="00E762DF">
            <w:pPr>
              <w:pStyle w:val="NormalWeb"/>
              <w:jc w:val="center"/>
            </w:pPr>
            <w:r>
              <w:t>0.05</w:t>
            </w:r>
          </w:p>
        </w:tc>
        <w:tc>
          <w:tcPr>
            <w:tcW w:w="1532" w:type="dxa"/>
            <w:hideMark/>
          </w:tcPr>
          <w:p w14:paraId="69E4310A" w14:textId="77777777" w:rsidR="00FE4DEF" w:rsidRDefault="00FE4DEF" w:rsidP="00E762DF">
            <w:pPr>
              <w:pStyle w:val="NormalWeb"/>
              <w:jc w:val="center"/>
            </w:pPr>
            <w:r>
              <w:t>4,017</w:t>
            </w:r>
          </w:p>
        </w:tc>
        <w:tc>
          <w:tcPr>
            <w:tcW w:w="1531" w:type="dxa"/>
            <w:hideMark/>
          </w:tcPr>
          <w:p w14:paraId="723A3C20" w14:textId="77777777" w:rsidR="00FE4DEF" w:rsidRDefault="00FE4DEF" w:rsidP="00E762DF">
            <w:pPr>
              <w:pStyle w:val="NormalWeb"/>
              <w:jc w:val="center"/>
            </w:pPr>
            <w:r>
              <w:t>324,275</w:t>
            </w:r>
          </w:p>
        </w:tc>
        <w:tc>
          <w:tcPr>
            <w:tcW w:w="1532" w:type="dxa"/>
            <w:hideMark/>
          </w:tcPr>
          <w:p w14:paraId="3F217C41" w14:textId="77777777" w:rsidR="00FE4DEF" w:rsidRDefault="00FE4DEF" w:rsidP="00E762DF">
            <w:pPr>
              <w:pStyle w:val="NormalWeb"/>
              <w:jc w:val="center"/>
            </w:pPr>
            <w:r>
              <w:t>0.03</w:t>
            </w:r>
          </w:p>
        </w:tc>
        <w:tc>
          <w:tcPr>
            <w:tcW w:w="1531" w:type="dxa"/>
            <w:hideMark/>
          </w:tcPr>
          <w:p w14:paraId="02A8A15C" w14:textId="77777777" w:rsidR="00FE4DEF" w:rsidRDefault="00FE4DEF" w:rsidP="00E762DF">
            <w:pPr>
              <w:pStyle w:val="NormalWeb"/>
              <w:jc w:val="center"/>
            </w:pPr>
            <w:r>
              <w:t>4,008</w:t>
            </w:r>
          </w:p>
        </w:tc>
        <w:tc>
          <w:tcPr>
            <w:tcW w:w="1532" w:type="dxa"/>
            <w:hideMark/>
          </w:tcPr>
          <w:p w14:paraId="1A42EE70" w14:textId="77777777" w:rsidR="00FE4DEF" w:rsidRDefault="00FE4DEF" w:rsidP="00E762DF">
            <w:pPr>
              <w:pStyle w:val="NormalWeb"/>
              <w:jc w:val="center"/>
            </w:pPr>
            <w:r>
              <w:t>2,157,255</w:t>
            </w:r>
          </w:p>
        </w:tc>
        <w:tc>
          <w:tcPr>
            <w:tcW w:w="1531" w:type="dxa"/>
            <w:hideMark/>
          </w:tcPr>
          <w:p w14:paraId="14C1F205" w14:textId="77777777" w:rsidR="00FE4DEF" w:rsidRDefault="00FE4DEF" w:rsidP="00E762DF">
            <w:pPr>
              <w:pStyle w:val="NormalWeb"/>
              <w:jc w:val="center"/>
            </w:pPr>
            <w:r>
              <w:t>0.19</w:t>
            </w:r>
          </w:p>
        </w:tc>
        <w:tc>
          <w:tcPr>
            <w:tcW w:w="1532" w:type="dxa"/>
            <w:hideMark/>
          </w:tcPr>
          <w:p w14:paraId="6F6E5E30" w14:textId="77777777" w:rsidR="00FE4DEF" w:rsidRDefault="00FE4DEF" w:rsidP="00E762DF">
            <w:pPr>
              <w:pStyle w:val="NormalWeb"/>
              <w:jc w:val="center"/>
            </w:pPr>
            <w:r>
              <w:t>26,666</w:t>
            </w:r>
          </w:p>
        </w:tc>
      </w:tr>
      <w:tr w:rsidR="00E762DF" w14:paraId="4CC24226"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0B9E229A" w14:textId="77777777" w:rsidR="00FE4DEF" w:rsidRDefault="00FE4DEF">
            <w:pPr>
              <w:pStyle w:val="NormalWeb"/>
            </w:pPr>
            <w:r>
              <w:t>Vic</w:t>
            </w:r>
          </w:p>
        </w:tc>
        <w:tc>
          <w:tcPr>
            <w:tcW w:w="1531" w:type="dxa"/>
            <w:hideMark/>
          </w:tcPr>
          <w:p w14:paraId="4CA22850" w14:textId="77777777" w:rsidR="00FE4DEF" w:rsidRDefault="00FE4DEF" w:rsidP="00E762DF">
            <w:pPr>
              <w:pStyle w:val="NormalWeb"/>
              <w:jc w:val="center"/>
            </w:pPr>
            <w:r>
              <w:t>305,590</w:t>
            </w:r>
          </w:p>
        </w:tc>
        <w:tc>
          <w:tcPr>
            <w:tcW w:w="1531" w:type="dxa"/>
            <w:hideMark/>
          </w:tcPr>
          <w:p w14:paraId="03F17203" w14:textId="77777777" w:rsidR="00FE4DEF" w:rsidRDefault="00FE4DEF" w:rsidP="00E762DF">
            <w:pPr>
              <w:pStyle w:val="NormalWeb"/>
              <w:jc w:val="center"/>
            </w:pPr>
            <w:r>
              <w:t>1.71</w:t>
            </w:r>
          </w:p>
        </w:tc>
        <w:tc>
          <w:tcPr>
            <w:tcW w:w="1532" w:type="dxa"/>
            <w:hideMark/>
          </w:tcPr>
          <w:p w14:paraId="60AF949C" w14:textId="77777777" w:rsidR="00FE4DEF" w:rsidRDefault="00FE4DEF" w:rsidP="00E762DF">
            <w:pPr>
              <w:pStyle w:val="NormalWeb"/>
              <w:jc w:val="center"/>
            </w:pPr>
            <w:r>
              <w:t>4,633</w:t>
            </w:r>
          </w:p>
        </w:tc>
        <w:tc>
          <w:tcPr>
            <w:tcW w:w="1531" w:type="dxa"/>
            <w:hideMark/>
          </w:tcPr>
          <w:p w14:paraId="4AE5155D" w14:textId="77777777" w:rsidR="00FE4DEF" w:rsidRDefault="00FE4DEF" w:rsidP="00E762DF">
            <w:pPr>
              <w:pStyle w:val="NormalWeb"/>
              <w:jc w:val="center"/>
            </w:pPr>
            <w:r>
              <w:t>251,145</w:t>
            </w:r>
          </w:p>
        </w:tc>
        <w:tc>
          <w:tcPr>
            <w:tcW w:w="1532" w:type="dxa"/>
            <w:hideMark/>
          </w:tcPr>
          <w:p w14:paraId="517171D1" w14:textId="77777777" w:rsidR="00FE4DEF" w:rsidRDefault="00FE4DEF" w:rsidP="00E762DF">
            <w:pPr>
              <w:pStyle w:val="NormalWeb"/>
              <w:jc w:val="center"/>
            </w:pPr>
            <w:r>
              <w:t>0.90</w:t>
            </w:r>
          </w:p>
        </w:tc>
        <w:tc>
          <w:tcPr>
            <w:tcW w:w="1531" w:type="dxa"/>
            <w:hideMark/>
          </w:tcPr>
          <w:p w14:paraId="08284163" w14:textId="77777777" w:rsidR="00FE4DEF" w:rsidRDefault="00FE4DEF" w:rsidP="00E762DF">
            <w:pPr>
              <w:pStyle w:val="NormalWeb"/>
              <w:jc w:val="center"/>
            </w:pPr>
            <w:r>
              <w:t>3,808</w:t>
            </w:r>
          </w:p>
        </w:tc>
        <w:tc>
          <w:tcPr>
            <w:tcW w:w="1532" w:type="dxa"/>
            <w:hideMark/>
          </w:tcPr>
          <w:p w14:paraId="0B611A02" w14:textId="77777777" w:rsidR="00FE4DEF" w:rsidRDefault="00FE4DEF" w:rsidP="00E762DF">
            <w:pPr>
              <w:pStyle w:val="NormalWeb"/>
              <w:jc w:val="center"/>
            </w:pPr>
            <w:r>
              <w:t>2,210,447</w:t>
            </w:r>
          </w:p>
        </w:tc>
        <w:tc>
          <w:tcPr>
            <w:tcW w:w="1531" w:type="dxa"/>
            <w:hideMark/>
          </w:tcPr>
          <w:p w14:paraId="272F6431" w14:textId="77777777" w:rsidR="00FE4DEF" w:rsidRDefault="00FE4DEF" w:rsidP="00E762DF">
            <w:pPr>
              <w:pStyle w:val="NormalWeb"/>
              <w:jc w:val="center"/>
            </w:pPr>
            <w:r>
              <w:t>0.86</w:t>
            </w:r>
          </w:p>
        </w:tc>
        <w:tc>
          <w:tcPr>
            <w:tcW w:w="1532" w:type="dxa"/>
            <w:hideMark/>
          </w:tcPr>
          <w:p w14:paraId="60237EBF" w14:textId="77777777" w:rsidR="00FE4DEF" w:rsidRDefault="00FE4DEF" w:rsidP="00E762DF">
            <w:pPr>
              <w:pStyle w:val="NormalWeb"/>
              <w:jc w:val="center"/>
            </w:pPr>
            <w:r>
              <w:t>33,512</w:t>
            </w:r>
          </w:p>
        </w:tc>
      </w:tr>
      <w:tr w:rsidR="002640FE" w14:paraId="0C8A486B" w14:textId="77777777" w:rsidTr="002640FE">
        <w:tc>
          <w:tcPr>
            <w:tcW w:w="1157" w:type="dxa"/>
            <w:hideMark/>
          </w:tcPr>
          <w:p w14:paraId="537080B3" w14:textId="77777777" w:rsidR="00FE4DEF" w:rsidRDefault="00FE4DEF">
            <w:pPr>
              <w:pStyle w:val="NormalWeb"/>
            </w:pPr>
            <w:r>
              <w:t>Qld</w:t>
            </w:r>
          </w:p>
        </w:tc>
        <w:tc>
          <w:tcPr>
            <w:tcW w:w="1531" w:type="dxa"/>
            <w:hideMark/>
          </w:tcPr>
          <w:p w14:paraId="1E062527" w14:textId="77777777" w:rsidR="00FE4DEF" w:rsidRDefault="00FE4DEF" w:rsidP="00E762DF">
            <w:pPr>
              <w:pStyle w:val="NormalWeb"/>
              <w:jc w:val="center"/>
            </w:pPr>
            <w:r>
              <w:t>164,787</w:t>
            </w:r>
          </w:p>
        </w:tc>
        <w:tc>
          <w:tcPr>
            <w:tcW w:w="1531" w:type="dxa"/>
            <w:hideMark/>
          </w:tcPr>
          <w:p w14:paraId="6CCBFFA3" w14:textId="77777777" w:rsidR="00FE4DEF" w:rsidRDefault="00FE4DEF" w:rsidP="00E762DF">
            <w:pPr>
              <w:pStyle w:val="NormalWeb"/>
              <w:jc w:val="center"/>
            </w:pPr>
            <w:r>
              <w:t>0.00</w:t>
            </w:r>
          </w:p>
        </w:tc>
        <w:tc>
          <w:tcPr>
            <w:tcW w:w="1532" w:type="dxa"/>
            <w:hideMark/>
          </w:tcPr>
          <w:p w14:paraId="691B1270" w14:textId="77777777" w:rsidR="00FE4DEF" w:rsidRDefault="00FE4DEF" w:rsidP="00E762DF">
            <w:pPr>
              <w:pStyle w:val="NormalWeb"/>
              <w:jc w:val="center"/>
            </w:pPr>
            <w:r>
              <w:t>3,235</w:t>
            </w:r>
          </w:p>
        </w:tc>
        <w:tc>
          <w:tcPr>
            <w:tcW w:w="1531" w:type="dxa"/>
            <w:hideMark/>
          </w:tcPr>
          <w:p w14:paraId="4E9F4733" w14:textId="77777777" w:rsidR="00FE4DEF" w:rsidRDefault="00FE4DEF" w:rsidP="00E762DF">
            <w:pPr>
              <w:pStyle w:val="NormalWeb"/>
              <w:jc w:val="center"/>
            </w:pPr>
            <w:r>
              <w:t>163,530</w:t>
            </w:r>
          </w:p>
        </w:tc>
        <w:tc>
          <w:tcPr>
            <w:tcW w:w="1532" w:type="dxa"/>
            <w:hideMark/>
          </w:tcPr>
          <w:p w14:paraId="4F7B5AAD" w14:textId="77777777" w:rsidR="00FE4DEF" w:rsidRDefault="00FE4DEF" w:rsidP="00E762DF">
            <w:pPr>
              <w:pStyle w:val="NormalWeb"/>
              <w:jc w:val="center"/>
            </w:pPr>
            <w:r>
              <w:t>0.02</w:t>
            </w:r>
          </w:p>
        </w:tc>
        <w:tc>
          <w:tcPr>
            <w:tcW w:w="1531" w:type="dxa"/>
            <w:hideMark/>
          </w:tcPr>
          <w:p w14:paraId="4A526EF2" w14:textId="77777777" w:rsidR="00FE4DEF" w:rsidRDefault="00FE4DEF" w:rsidP="00E762DF">
            <w:pPr>
              <w:pStyle w:val="NormalWeb"/>
              <w:jc w:val="center"/>
            </w:pPr>
            <w:r>
              <w:t>3,210</w:t>
            </w:r>
          </w:p>
        </w:tc>
        <w:tc>
          <w:tcPr>
            <w:tcW w:w="1532" w:type="dxa"/>
            <w:hideMark/>
          </w:tcPr>
          <w:p w14:paraId="57771A6C" w14:textId="77777777" w:rsidR="00FE4DEF" w:rsidRDefault="00FE4DEF" w:rsidP="00E762DF">
            <w:pPr>
              <w:pStyle w:val="NormalWeb"/>
              <w:jc w:val="center"/>
            </w:pPr>
            <w:r>
              <w:t>888,924</w:t>
            </w:r>
          </w:p>
        </w:tc>
        <w:tc>
          <w:tcPr>
            <w:tcW w:w="1531" w:type="dxa"/>
            <w:hideMark/>
          </w:tcPr>
          <w:p w14:paraId="0F3D7947" w14:textId="77777777" w:rsidR="00FE4DEF" w:rsidRDefault="00FE4DEF" w:rsidP="00E762DF">
            <w:pPr>
              <w:pStyle w:val="NormalWeb"/>
              <w:jc w:val="center"/>
            </w:pPr>
            <w:r>
              <w:t>0.13</w:t>
            </w:r>
          </w:p>
        </w:tc>
        <w:tc>
          <w:tcPr>
            <w:tcW w:w="1532" w:type="dxa"/>
            <w:hideMark/>
          </w:tcPr>
          <w:p w14:paraId="44625CAE" w14:textId="77777777" w:rsidR="00FE4DEF" w:rsidRDefault="00FE4DEF" w:rsidP="00E762DF">
            <w:pPr>
              <w:pStyle w:val="NormalWeb"/>
              <w:jc w:val="center"/>
            </w:pPr>
            <w:r>
              <w:t>17,449</w:t>
            </w:r>
          </w:p>
        </w:tc>
      </w:tr>
      <w:tr w:rsidR="00E762DF" w14:paraId="7F6AD4CB"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3008F61B" w14:textId="77777777" w:rsidR="00FE4DEF" w:rsidRDefault="00FE4DEF">
            <w:pPr>
              <w:pStyle w:val="NormalWeb"/>
            </w:pPr>
            <w:r>
              <w:t>WA</w:t>
            </w:r>
          </w:p>
        </w:tc>
        <w:tc>
          <w:tcPr>
            <w:tcW w:w="1531" w:type="dxa"/>
            <w:hideMark/>
          </w:tcPr>
          <w:p w14:paraId="62D63D5A" w14:textId="77777777" w:rsidR="00FE4DEF" w:rsidRDefault="00FE4DEF" w:rsidP="00E762DF">
            <w:pPr>
              <w:pStyle w:val="NormalWeb"/>
              <w:jc w:val="center"/>
            </w:pPr>
            <w:r>
              <w:t>74,366</w:t>
            </w:r>
          </w:p>
        </w:tc>
        <w:tc>
          <w:tcPr>
            <w:tcW w:w="1531" w:type="dxa"/>
            <w:hideMark/>
          </w:tcPr>
          <w:p w14:paraId="4FFC93D7" w14:textId="77777777" w:rsidR="00FE4DEF" w:rsidRDefault="00FE4DEF" w:rsidP="00E762DF">
            <w:pPr>
              <w:pStyle w:val="NormalWeb"/>
              <w:jc w:val="center"/>
            </w:pPr>
            <w:r>
              <w:t>0.01</w:t>
            </w:r>
          </w:p>
        </w:tc>
        <w:tc>
          <w:tcPr>
            <w:tcW w:w="1532" w:type="dxa"/>
            <w:hideMark/>
          </w:tcPr>
          <w:p w14:paraId="27C07965" w14:textId="77777777" w:rsidR="00FE4DEF" w:rsidRDefault="00FE4DEF" w:rsidP="00E762DF">
            <w:pPr>
              <w:pStyle w:val="NormalWeb"/>
              <w:jc w:val="center"/>
            </w:pPr>
            <w:r>
              <w:t>2,837</w:t>
            </w:r>
          </w:p>
        </w:tc>
        <w:tc>
          <w:tcPr>
            <w:tcW w:w="1531" w:type="dxa"/>
            <w:hideMark/>
          </w:tcPr>
          <w:p w14:paraId="1DFDECD0" w14:textId="77777777" w:rsidR="00FE4DEF" w:rsidRDefault="00FE4DEF" w:rsidP="00E762DF">
            <w:pPr>
              <w:pStyle w:val="NormalWeb"/>
              <w:jc w:val="center"/>
            </w:pPr>
            <w:r>
              <w:t>56,036</w:t>
            </w:r>
          </w:p>
        </w:tc>
        <w:tc>
          <w:tcPr>
            <w:tcW w:w="1532" w:type="dxa"/>
            <w:hideMark/>
          </w:tcPr>
          <w:p w14:paraId="3172A83A" w14:textId="77777777" w:rsidR="00FE4DEF" w:rsidRDefault="00FE4DEF" w:rsidP="00E762DF">
            <w:pPr>
              <w:pStyle w:val="NormalWeb"/>
              <w:jc w:val="center"/>
            </w:pPr>
            <w:r>
              <w:t>0.00</w:t>
            </w:r>
          </w:p>
        </w:tc>
        <w:tc>
          <w:tcPr>
            <w:tcW w:w="1531" w:type="dxa"/>
            <w:hideMark/>
          </w:tcPr>
          <w:p w14:paraId="16AC898C" w14:textId="77777777" w:rsidR="00FE4DEF" w:rsidRDefault="00FE4DEF" w:rsidP="00E762DF">
            <w:pPr>
              <w:pStyle w:val="NormalWeb"/>
              <w:jc w:val="center"/>
            </w:pPr>
            <w:r>
              <w:t>2,138</w:t>
            </w:r>
          </w:p>
        </w:tc>
        <w:tc>
          <w:tcPr>
            <w:tcW w:w="1532" w:type="dxa"/>
            <w:hideMark/>
          </w:tcPr>
          <w:p w14:paraId="7425767B" w14:textId="77777777" w:rsidR="00FE4DEF" w:rsidRDefault="00FE4DEF" w:rsidP="00E762DF">
            <w:pPr>
              <w:pStyle w:val="NormalWeb"/>
              <w:jc w:val="center"/>
            </w:pPr>
            <w:r>
              <w:t>376,562</w:t>
            </w:r>
          </w:p>
        </w:tc>
        <w:tc>
          <w:tcPr>
            <w:tcW w:w="1531" w:type="dxa"/>
            <w:hideMark/>
          </w:tcPr>
          <w:p w14:paraId="5C3F367B" w14:textId="77777777" w:rsidR="00FE4DEF" w:rsidRDefault="00FE4DEF" w:rsidP="00E762DF">
            <w:pPr>
              <w:pStyle w:val="NormalWeb"/>
              <w:jc w:val="center"/>
            </w:pPr>
            <w:r>
              <w:t>0.12</w:t>
            </w:r>
          </w:p>
        </w:tc>
        <w:tc>
          <w:tcPr>
            <w:tcW w:w="1532" w:type="dxa"/>
            <w:hideMark/>
          </w:tcPr>
          <w:p w14:paraId="0019F8CF" w14:textId="77777777" w:rsidR="00FE4DEF" w:rsidRDefault="00FE4DEF" w:rsidP="00E762DF">
            <w:pPr>
              <w:pStyle w:val="NormalWeb"/>
              <w:jc w:val="center"/>
            </w:pPr>
            <w:r>
              <w:t>14,364</w:t>
            </w:r>
          </w:p>
        </w:tc>
      </w:tr>
      <w:tr w:rsidR="002640FE" w14:paraId="632377E3" w14:textId="77777777" w:rsidTr="002640FE">
        <w:tc>
          <w:tcPr>
            <w:tcW w:w="1157" w:type="dxa"/>
            <w:hideMark/>
          </w:tcPr>
          <w:p w14:paraId="40726769" w14:textId="77777777" w:rsidR="00FE4DEF" w:rsidRDefault="00FE4DEF">
            <w:pPr>
              <w:pStyle w:val="NormalWeb"/>
            </w:pPr>
            <w:r>
              <w:t>SA</w:t>
            </w:r>
          </w:p>
        </w:tc>
        <w:tc>
          <w:tcPr>
            <w:tcW w:w="1531" w:type="dxa"/>
            <w:hideMark/>
          </w:tcPr>
          <w:p w14:paraId="7FF5EB67" w14:textId="77777777" w:rsidR="00FE4DEF" w:rsidRDefault="00FE4DEF" w:rsidP="00E762DF">
            <w:pPr>
              <w:pStyle w:val="NormalWeb"/>
              <w:jc w:val="center"/>
            </w:pPr>
            <w:r>
              <w:t>35,279</w:t>
            </w:r>
          </w:p>
        </w:tc>
        <w:tc>
          <w:tcPr>
            <w:tcW w:w="1531" w:type="dxa"/>
            <w:hideMark/>
          </w:tcPr>
          <w:p w14:paraId="1854BA78" w14:textId="77777777" w:rsidR="00FE4DEF" w:rsidRDefault="00FE4DEF" w:rsidP="00E762DF">
            <w:pPr>
              <w:pStyle w:val="NormalWeb"/>
              <w:jc w:val="center"/>
            </w:pPr>
            <w:r>
              <w:t>0.01</w:t>
            </w:r>
          </w:p>
        </w:tc>
        <w:tc>
          <w:tcPr>
            <w:tcW w:w="1532" w:type="dxa"/>
            <w:hideMark/>
          </w:tcPr>
          <w:p w14:paraId="05823E60" w14:textId="77777777" w:rsidR="00FE4DEF" w:rsidRDefault="00FE4DEF" w:rsidP="00E762DF">
            <w:pPr>
              <w:pStyle w:val="NormalWeb"/>
              <w:jc w:val="center"/>
            </w:pPr>
            <w:r>
              <w:t>2,014</w:t>
            </w:r>
          </w:p>
        </w:tc>
        <w:tc>
          <w:tcPr>
            <w:tcW w:w="1531" w:type="dxa"/>
            <w:hideMark/>
          </w:tcPr>
          <w:p w14:paraId="709FA5DD" w14:textId="77777777" w:rsidR="00FE4DEF" w:rsidRDefault="00FE4DEF" w:rsidP="00E762DF">
            <w:pPr>
              <w:pStyle w:val="NormalWeb"/>
              <w:jc w:val="center"/>
            </w:pPr>
            <w:r>
              <w:t>52,335</w:t>
            </w:r>
          </w:p>
        </w:tc>
        <w:tc>
          <w:tcPr>
            <w:tcW w:w="1532" w:type="dxa"/>
            <w:hideMark/>
          </w:tcPr>
          <w:p w14:paraId="37AB09F2" w14:textId="77777777" w:rsidR="00FE4DEF" w:rsidRDefault="00FE4DEF" w:rsidP="00E762DF">
            <w:pPr>
              <w:pStyle w:val="NormalWeb"/>
              <w:jc w:val="center"/>
            </w:pPr>
            <w:r>
              <w:t>0.02</w:t>
            </w:r>
          </w:p>
        </w:tc>
        <w:tc>
          <w:tcPr>
            <w:tcW w:w="1531" w:type="dxa"/>
            <w:hideMark/>
          </w:tcPr>
          <w:p w14:paraId="37A949BA" w14:textId="77777777" w:rsidR="00FE4DEF" w:rsidRDefault="00FE4DEF" w:rsidP="00E762DF">
            <w:pPr>
              <w:pStyle w:val="NormalWeb"/>
              <w:jc w:val="center"/>
            </w:pPr>
            <w:r>
              <w:t>2,987</w:t>
            </w:r>
          </w:p>
        </w:tc>
        <w:tc>
          <w:tcPr>
            <w:tcW w:w="1532" w:type="dxa"/>
            <w:hideMark/>
          </w:tcPr>
          <w:p w14:paraId="747E42FA" w14:textId="77777777" w:rsidR="00FE4DEF" w:rsidRDefault="00FE4DEF" w:rsidP="00E762DF">
            <w:pPr>
              <w:pStyle w:val="NormalWeb"/>
              <w:jc w:val="center"/>
            </w:pPr>
            <w:r>
              <w:t>337,403</w:t>
            </w:r>
          </w:p>
        </w:tc>
        <w:tc>
          <w:tcPr>
            <w:tcW w:w="1531" w:type="dxa"/>
            <w:hideMark/>
          </w:tcPr>
          <w:p w14:paraId="2ADC6BEE" w14:textId="77777777" w:rsidR="00FE4DEF" w:rsidRDefault="00FE4DEF" w:rsidP="00E762DF">
            <w:pPr>
              <w:pStyle w:val="NormalWeb"/>
              <w:jc w:val="center"/>
            </w:pPr>
            <w:r>
              <w:t>0.19</w:t>
            </w:r>
          </w:p>
        </w:tc>
        <w:tc>
          <w:tcPr>
            <w:tcW w:w="1532" w:type="dxa"/>
            <w:hideMark/>
          </w:tcPr>
          <w:p w14:paraId="65254DB8" w14:textId="77777777" w:rsidR="00FE4DEF" w:rsidRDefault="00FE4DEF" w:rsidP="00E762DF">
            <w:pPr>
              <w:pStyle w:val="NormalWeb"/>
              <w:jc w:val="center"/>
            </w:pPr>
            <w:r>
              <w:t>19,259</w:t>
            </w:r>
          </w:p>
        </w:tc>
      </w:tr>
      <w:tr w:rsidR="00E762DF" w14:paraId="51C882BD"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62BB3CD1" w14:textId="77777777" w:rsidR="00FE4DEF" w:rsidRDefault="00FE4DEF">
            <w:pPr>
              <w:pStyle w:val="NormalWeb"/>
            </w:pPr>
            <w:r>
              <w:t>Tas</w:t>
            </w:r>
          </w:p>
        </w:tc>
        <w:tc>
          <w:tcPr>
            <w:tcW w:w="1531" w:type="dxa"/>
            <w:hideMark/>
          </w:tcPr>
          <w:p w14:paraId="441919B5" w14:textId="77777777" w:rsidR="00FE4DEF" w:rsidRDefault="00FE4DEF" w:rsidP="00E762DF">
            <w:pPr>
              <w:pStyle w:val="NormalWeb"/>
              <w:jc w:val="center"/>
            </w:pPr>
            <w:r>
              <w:t>8,770</w:t>
            </w:r>
          </w:p>
        </w:tc>
        <w:tc>
          <w:tcPr>
            <w:tcW w:w="1531" w:type="dxa"/>
            <w:hideMark/>
          </w:tcPr>
          <w:p w14:paraId="11FC114B" w14:textId="77777777" w:rsidR="00FE4DEF" w:rsidRDefault="00FE4DEF" w:rsidP="00E762DF">
            <w:pPr>
              <w:pStyle w:val="NormalWeb"/>
              <w:jc w:val="center"/>
            </w:pPr>
            <w:r>
              <w:t>0.01</w:t>
            </w:r>
          </w:p>
        </w:tc>
        <w:tc>
          <w:tcPr>
            <w:tcW w:w="1532" w:type="dxa"/>
            <w:hideMark/>
          </w:tcPr>
          <w:p w14:paraId="0E302A3D" w14:textId="77777777" w:rsidR="00FE4DEF" w:rsidRDefault="00FE4DEF" w:rsidP="00E762DF">
            <w:pPr>
              <w:pStyle w:val="NormalWeb"/>
              <w:jc w:val="center"/>
            </w:pPr>
            <w:r>
              <w:t>1,641</w:t>
            </w:r>
          </w:p>
        </w:tc>
        <w:tc>
          <w:tcPr>
            <w:tcW w:w="1531" w:type="dxa"/>
            <w:hideMark/>
          </w:tcPr>
          <w:p w14:paraId="68D11E47" w14:textId="77777777" w:rsidR="00FE4DEF" w:rsidRDefault="00FE4DEF" w:rsidP="00E762DF">
            <w:pPr>
              <w:pStyle w:val="NormalWeb"/>
              <w:jc w:val="center"/>
            </w:pPr>
            <w:r>
              <w:t>8,539</w:t>
            </w:r>
          </w:p>
        </w:tc>
        <w:tc>
          <w:tcPr>
            <w:tcW w:w="1532" w:type="dxa"/>
            <w:hideMark/>
          </w:tcPr>
          <w:p w14:paraId="39838BDF" w14:textId="77777777" w:rsidR="00FE4DEF" w:rsidRDefault="00FE4DEF" w:rsidP="00E762DF">
            <w:pPr>
              <w:pStyle w:val="NormalWeb"/>
              <w:jc w:val="center"/>
            </w:pPr>
            <w:r>
              <w:t>0.00</w:t>
            </w:r>
          </w:p>
        </w:tc>
        <w:tc>
          <w:tcPr>
            <w:tcW w:w="1531" w:type="dxa"/>
            <w:hideMark/>
          </w:tcPr>
          <w:p w14:paraId="0699AA14" w14:textId="77777777" w:rsidR="00FE4DEF" w:rsidRDefault="00FE4DEF" w:rsidP="00E762DF">
            <w:pPr>
              <w:pStyle w:val="NormalWeb"/>
              <w:jc w:val="center"/>
            </w:pPr>
            <w:r>
              <w:t>1,598</w:t>
            </w:r>
          </w:p>
        </w:tc>
        <w:tc>
          <w:tcPr>
            <w:tcW w:w="1532" w:type="dxa"/>
            <w:hideMark/>
          </w:tcPr>
          <w:p w14:paraId="501E805B" w14:textId="77777777" w:rsidR="00FE4DEF" w:rsidRDefault="00FE4DEF" w:rsidP="00E762DF">
            <w:pPr>
              <w:pStyle w:val="NormalWeb"/>
              <w:jc w:val="center"/>
            </w:pPr>
            <w:r>
              <w:t>87,292</w:t>
            </w:r>
          </w:p>
        </w:tc>
        <w:tc>
          <w:tcPr>
            <w:tcW w:w="1531" w:type="dxa"/>
            <w:hideMark/>
          </w:tcPr>
          <w:p w14:paraId="3D2EFAA6" w14:textId="77777777" w:rsidR="00FE4DEF" w:rsidRDefault="00FE4DEF" w:rsidP="00E762DF">
            <w:pPr>
              <w:pStyle w:val="NormalWeb"/>
              <w:jc w:val="center"/>
            </w:pPr>
            <w:r>
              <w:t>0.26</w:t>
            </w:r>
          </w:p>
        </w:tc>
        <w:tc>
          <w:tcPr>
            <w:tcW w:w="1532" w:type="dxa"/>
            <w:hideMark/>
          </w:tcPr>
          <w:p w14:paraId="4E52991B" w14:textId="77777777" w:rsidR="00FE4DEF" w:rsidRDefault="00FE4DEF" w:rsidP="00E762DF">
            <w:pPr>
              <w:pStyle w:val="NormalWeb"/>
              <w:jc w:val="center"/>
            </w:pPr>
            <w:r>
              <w:t>16,333</w:t>
            </w:r>
          </w:p>
        </w:tc>
      </w:tr>
      <w:tr w:rsidR="002640FE" w14:paraId="458309DE" w14:textId="77777777" w:rsidTr="002640FE">
        <w:tc>
          <w:tcPr>
            <w:tcW w:w="1157" w:type="dxa"/>
            <w:hideMark/>
          </w:tcPr>
          <w:p w14:paraId="144C7603" w14:textId="77777777" w:rsidR="00FE4DEF" w:rsidRDefault="00FE4DEF">
            <w:pPr>
              <w:pStyle w:val="NormalWeb"/>
            </w:pPr>
            <w:r>
              <w:t>NT</w:t>
            </w:r>
          </w:p>
        </w:tc>
        <w:tc>
          <w:tcPr>
            <w:tcW w:w="1531" w:type="dxa"/>
            <w:hideMark/>
          </w:tcPr>
          <w:p w14:paraId="54581367" w14:textId="77777777" w:rsidR="00FE4DEF" w:rsidRDefault="00FE4DEF" w:rsidP="00E762DF">
            <w:pPr>
              <w:pStyle w:val="NormalWeb"/>
              <w:jc w:val="center"/>
            </w:pPr>
            <w:r>
              <w:t>5,316</w:t>
            </w:r>
          </w:p>
        </w:tc>
        <w:tc>
          <w:tcPr>
            <w:tcW w:w="1531" w:type="dxa"/>
            <w:hideMark/>
          </w:tcPr>
          <w:p w14:paraId="51ED26BE" w14:textId="77777777" w:rsidR="00FE4DEF" w:rsidRDefault="00FE4DEF" w:rsidP="00E762DF">
            <w:pPr>
              <w:pStyle w:val="NormalWeb"/>
              <w:jc w:val="center"/>
            </w:pPr>
            <w:r>
              <w:t>0.00</w:t>
            </w:r>
          </w:p>
        </w:tc>
        <w:tc>
          <w:tcPr>
            <w:tcW w:w="1532" w:type="dxa"/>
            <w:hideMark/>
          </w:tcPr>
          <w:p w14:paraId="11F41613" w14:textId="77777777" w:rsidR="00FE4DEF" w:rsidRDefault="00FE4DEF" w:rsidP="00E762DF">
            <w:pPr>
              <w:pStyle w:val="NormalWeb"/>
              <w:jc w:val="center"/>
            </w:pPr>
            <w:r>
              <w:t>2,162</w:t>
            </w:r>
          </w:p>
        </w:tc>
        <w:tc>
          <w:tcPr>
            <w:tcW w:w="1531" w:type="dxa"/>
            <w:hideMark/>
          </w:tcPr>
          <w:p w14:paraId="5BFFA294" w14:textId="77777777" w:rsidR="00FE4DEF" w:rsidRDefault="00FE4DEF" w:rsidP="00E762DF">
            <w:pPr>
              <w:pStyle w:val="NormalWeb"/>
              <w:jc w:val="center"/>
            </w:pPr>
            <w:r>
              <w:t>4,850</w:t>
            </w:r>
          </w:p>
        </w:tc>
        <w:tc>
          <w:tcPr>
            <w:tcW w:w="1532" w:type="dxa"/>
            <w:hideMark/>
          </w:tcPr>
          <w:p w14:paraId="790CF322" w14:textId="77777777" w:rsidR="00FE4DEF" w:rsidRDefault="00FE4DEF" w:rsidP="00E762DF">
            <w:pPr>
              <w:pStyle w:val="NormalWeb"/>
              <w:jc w:val="center"/>
            </w:pPr>
            <w:r>
              <w:t>0.00</w:t>
            </w:r>
          </w:p>
        </w:tc>
        <w:tc>
          <w:tcPr>
            <w:tcW w:w="1531" w:type="dxa"/>
            <w:hideMark/>
          </w:tcPr>
          <w:p w14:paraId="00D86AB9" w14:textId="77777777" w:rsidR="00FE4DEF" w:rsidRDefault="00FE4DEF" w:rsidP="00E762DF">
            <w:pPr>
              <w:pStyle w:val="NormalWeb"/>
              <w:jc w:val="center"/>
            </w:pPr>
            <w:r>
              <w:t>1,972</w:t>
            </w:r>
          </w:p>
        </w:tc>
        <w:tc>
          <w:tcPr>
            <w:tcW w:w="1532" w:type="dxa"/>
            <w:hideMark/>
          </w:tcPr>
          <w:p w14:paraId="0982E8FE" w14:textId="77777777" w:rsidR="00FE4DEF" w:rsidRDefault="00FE4DEF" w:rsidP="00E762DF">
            <w:pPr>
              <w:pStyle w:val="NormalWeb"/>
              <w:jc w:val="center"/>
            </w:pPr>
            <w:r>
              <w:t>35,377</w:t>
            </w:r>
          </w:p>
        </w:tc>
        <w:tc>
          <w:tcPr>
            <w:tcW w:w="1531" w:type="dxa"/>
            <w:hideMark/>
          </w:tcPr>
          <w:p w14:paraId="7E310B13" w14:textId="77777777" w:rsidR="00FE4DEF" w:rsidRDefault="00FE4DEF" w:rsidP="00E762DF">
            <w:pPr>
              <w:pStyle w:val="NormalWeb"/>
              <w:jc w:val="center"/>
            </w:pPr>
            <w:r>
              <w:t>0.09</w:t>
            </w:r>
          </w:p>
        </w:tc>
        <w:tc>
          <w:tcPr>
            <w:tcW w:w="1532" w:type="dxa"/>
            <w:hideMark/>
          </w:tcPr>
          <w:p w14:paraId="3A82C317" w14:textId="77777777" w:rsidR="00FE4DEF" w:rsidRDefault="00FE4DEF" w:rsidP="00E762DF">
            <w:pPr>
              <w:pStyle w:val="NormalWeb"/>
              <w:jc w:val="center"/>
            </w:pPr>
            <w:r>
              <w:t>14,385</w:t>
            </w:r>
          </w:p>
        </w:tc>
      </w:tr>
      <w:tr w:rsidR="00E762DF" w14:paraId="5D12A257" w14:textId="77777777" w:rsidTr="002640FE">
        <w:trPr>
          <w:cnfStyle w:val="000000010000" w:firstRow="0" w:lastRow="0" w:firstColumn="0" w:lastColumn="0" w:oddVBand="0" w:evenVBand="0" w:oddHBand="0" w:evenHBand="1" w:firstRowFirstColumn="0" w:firstRowLastColumn="0" w:lastRowFirstColumn="0" w:lastRowLastColumn="0"/>
        </w:trPr>
        <w:tc>
          <w:tcPr>
            <w:tcW w:w="1157" w:type="dxa"/>
            <w:hideMark/>
          </w:tcPr>
          <w:p w14:paraId="4F1E728C" w14:textId="77777777" w:rsidR="00FE4DEF" w:rsidRDefault="00FE4DEF">
            <w:pPr>
              <w:pStyle w:val="NormalWeb"/>
            </w:pPr>
            <w:r>
              <w:t>ACT</w:t>
            </w:r>
          </w:p>
        </w:tc>
        <w:tc>
          <w:tcPr>
            <w:tcW w:w="1531" w:type="dxa"/>
            <w:hideMark/>
          </w:tcPr>
          <w:p w14:paraId="5E1D4A16" w14:textId="77777777" w:rsidR="00FE4DEF" w:rsidRDefault="00FE4DEF" w:rsidP="00E762DF">
            <w:pPr>
              <w:pStyle w:val="NormalWeb"/>
              <w:jc w:val="center"/>
            </w:pPr>
            <w:r>
              <w:t>12,369</w:t>
            </w:r>
          </w:p>
        </w:tc>
        <w:tc>
          <w:tcPr>
            <w:tcW w:w="1531" w:type="dxa"/>
            <w:hideMark/>
          </w:tcPr>
          <w:p w14:paraId="24B0170B" w14:textId="77777777" w:rsidR="00FE4DEF" w:rsidRDefault="00FE4DEF" w:rsidP="00E762DF">
            <w:pPr>
              <w:pStyle w:val="NormalWeb"/>
              <w:jc w:val="center"/>
            </w:pPr>
            <w:r>
              <w:t>0.00</w:t>
            </w:r>
          </w:p>
        </w:tc>
        <w:tc>
          <w:tcPr>
            <w:tcW w:w="1532" w:type="dxa"/>
            <w:hideMark/>
          </w:tcPr>
          <w:p w14:paraId="1270CDCD" w14:textId="77777777" w:rsidR="00FE4DEF" w:rsidRDefault="00FE4DEF" w:rsidP="00E762DF">
            <w:pPr>
              <w:pStyle w:val="NormalWeb"/>
              <w:jc w:val="center"/>
            </w:pPr>
            <w:r>
              <w:t>2,899</w:t>
            </w:r>
          </w:p>
        </w:tc>
        <w:tc>
          <w:tcPr>
            <w:tcW w:w="1531" w:type="dxa"/>
            <w:hideMark/>
          </w:tcPr>
          <w:p w14:paraId="0C93EBEC" w14:textId="77777777" w:rsidR="00FE4DEF" w:rsidRDefault="00FE4DEF" w:rsidP="00E762DF">
            <w:pPr>
              <w:pStyle w:val="NormalWeb"/>
              <w:jc w:val="center"/>
            </w:pPr>
            <w:r>
              <w:t>9,961</w:t>
            </w:r>
          </w:p>
        </w:tc>
        <w:tc>
          <w:tcPr>
            <w:tcW w:w="1532" w:type="dxa"/>
            <w:hideMark/>
          </w:tcPr>
          <w:p w14:paraId="21CE63ED" w14:textId="77777777" w:rsidR="00FE4DEF" w:rsidRDefault="00FE4DEF" w:rsidP="00E762DF">
            <w:pPr>
              <w:pStyle w:val="NormalWeb"/>
              <w:jc w:val="center"/>
            </w:pPr>
            <w:r>
              <w:t>0.00</w:t>
            </w:r>
          </w:p>
        </w:tc>
        <w:tc>
          <w:tcPr>
            <w:tcW w:w="1531" w:type="dxa"/>
            <w:hideMark/>
          </w:tcPr>
          <w:p w14:paraId="05DC2E81" w14:textId="77777777" w:rsidR="00FE4DEF" w:rsidRDefault="00FE4DEF" w:rsidP="00E762DF">
            <w:pPr>
              <w:pStyle w:val="NormalWeb"/>
              <w:jc w:val="center"/>
            </w:pPr>
            <w:r>
              <w:t>2,334</w:t>
            </w:r>
          </w:p>
        </w:tc>
        <w:tc>
          <w:tcPr>
            <w:tcW w:w="1532" w:type="dxa"/>
            <w:hideMark/>
          </w:tcPr>
          <w:p w14:paraId="6AF0AF34" w14:textId="77777777" w:rsidR="00FE4DEF" w:rsidRDefault="00FE4DEF" w:rsidP="00E762DF">
            <w:pPr>
              <w:pStyle w:val="NormalWeb"/>
              <w:jc w:val="center"/>
            </w:pPr>
            <w:r>
              <w:t>74,969</w:t>
            </w:r>
          </w:p>
        </w:tc>
        <w:tc>
          <w:tcPr>
            <w:tcW w:w="1531" w:type="dxa"/>
            <w:hideMark/>
          </w:tcPr>
          <w:p w14:paraId="2E7E3B67" w14:textId="77777777" w:rsidR="00FE4DEF" w:rsidRDefault="00FE4DEF" w:rsidP="00E762DF">
            <w:pPr>
              <w:pStyle w:val="NormalWeb"/>
              <w:jc w:val="center"/>
            </w:pPr>
            <w:r>
              <w:t>0.15</w:t>
            </w:r>
          </w:p>
        </w:tc>
        <w:tc>
          <w:tcPr>
            <w:tcW w:w="1532" w:type="dxa"/>
            <w:hideMark/>
          </w:tcPr>
          <w:p w14:paraId="3BB9AC45" w14:textId="77777777" w:rsidR="00FE4DEF" w:rsidRDefault="00FE4DEF" w:rsidP="00E762DF">
            <w:pPr>
              <w:pStyle w:val="NormalWeb"/>
              <w:jc w:val="center"/>
            </w:pPr>
            <w:r>
              <w:t>17,569</w:t>
            </w:r>
          </w:p>
        </w:tc>
      </w:tr>
      <w:tr w:rsidR="002640FE" w:rsidRPr="004B1A28" w14:paraId="798B2C12" w14:textId="77777777" w:rsidTr="004B1A28">
        <w:tc>
          <w:tcPr>
            <w:tcW w:w="1157" w:type="dxa"/>
            <w:shd w:val="clear" w:color="auto" w:fill="FDE9D9" w:themeFill="accent6" w:themeFillTint="33"/>
            <w:hideMark/>
          </w:tcPr>
          <w:p w14:paraId="2EEAC430" w14:textId="77777777" w:rsidR="00FE4DEF" w:rsidRPr="004B1A28" w:rsidRDefault="00FE4DEF">
            <w:pPr>
              <w:pStyle w:val="NormalWeb"/>
              <w:rPr>
                <w:b/>
              </w:rPr>
            </w:pPr>
            <w:r w:rsidRPr="004B1A28">
              <w:rPr>
                <w:b/>
              </w:rPr>
              <w:t>Australia</w:t>
            </w:r>
          </w:p>
        </w:tc>
        <w:tc>
          <w:tcPr>
            <w:tcW w:w="1531" w:type="dxa"/>
            <w:shd w:val="clear" w:color="auto" w:fill="FDE9D9" w:themeFill="accent6" w:themeFillTint="33"/>
            <w:hideMark/>
          </w:tcPr>
          <w:p w14:paraId="7F754471" w14:textId="77777777" w:rsidR="00FE4DEF" w:rsidRPr="004B1A28" w:rsidRDefault="00FE4DEF" w:rsidP="00E762DF">
            <w:pPr>
              <w:pStyle w:val="NormalWeb"/>
              <w:jc w:val="center"/>
              <w:rPr>
                <w:b/>
              </w:rPr>
            </w:pPr>
            <w:r w:rsidRPr="004B1A28">
              <w:rPr>
                <w:b/>
              </w:rPr>
              <w:t>931,417</w:t>
            </w:r>
          </w:p>
        </w:tc>
        <w:tc>
          <w:tcPr>
            <w:tcW w:w="1531" w:type="dxa"/>
            <w:shd w:val="clear" w:color="auto" w:fill="FDE9D9" w:themeFill="accent6" w:themeFillTint="33"/>
            <w:hideMark/>
          </w:tcPr>
          <w:p w14:paraId="50CFAF8A" w14:textId="77777777" w:rsidR="00FE4DEF" w:rsidRPr="004B1A28" w:rsidRDefault="00FE4DEF" w:rsidP="00E762DF">
            <w:pPr>
              <w:pStyle w:val="NormalWeb"/>
              <w:jc w:val="center"/>
              <w:rPr>
                <w:b/>
              </w:rPr>
            </w:pPr>
            <w:r w:rsidRPr="004B1A28">
              <w:rPr>
                <w:b/>
              </w:rPr>
              <w:t>0.58</w:t>
            </w:r>
          </w:p>
        </w:tc>
        <w:tc>
          <w:tcPr>
            <w:tcW w:w="1532" w:type="dxa"/>
            <w:shd w:val="clear" w:color="auto" w:fill="FDE9D9" w:themeFill="accent6" w:themeFillTint="33"/>
            <w:hideMark/>
          </w:tcPr>
          <w:p w14:paraId="4A8E3126" w14:textId="77777777" w:rsidR="00FE4DEF" w:rsidRPr="004B1A28" w:rsidRDefault="00FE4DEF" w:rsidP="00E762DF">
            <w:pPr>
              <w:pStyle w:val="NormalWeb"/>
              <w:jc w:val="center"/>
              <w:rPr>
                <w:b/>
              </w:rPr>
            </w:pPr>
            <w:r w:rsidRPr="004B1A28">
              <w:rPr>
                <w:b/>
              </w:rPr>
              <w:t>3,673</w:t>
            </w:r>
          </w:p>
        </w:tc>
        <w:tc>
          <w:tcPr>
            <w:tcW w:w="1531" w:type="dxa"/>
            <w:shd w:val="clear" w:color="auto" w:fill="FDE9D9" w:themeFill="accent6" w:themeFillTint="33"/>
            <w:hideMark/>
          </w:tcPr>
          <w:p w14:paraId="4C006DD9" w14:textId="77777777" w:rsidR="00FE4DEF" w:rsidRPr="004B1A28" w:rsidRDefault="00FE4DEF" w:rsidP="00E762DF">
            <w:pPr>
              <w:pStyle w:val="NormalWeb"/>
              <w:jc w:val="center"/>
              <w:rPr>
                <w:b/>
              </w:rPr>
            </w:pPr>
            <w:r w:rsidRPr="004B1A28">
              <w:rPr>
                <w:b/>
              </w:rPr>
              <w:t>870,671</w:t>
            </w:r>
          </w:p>
        </w:tc>
        <w:tc>
          <w:tcPr>
            <w:tcW w:w="1532" w:type="dxa"/>
            <w:shd w:val="clear" w:color="auto" w:fill="FDE9D9" w:themeFill="accent6" w:themeFillTint="33"/>
            <w:hideMark/>
          </w:tcPr>
          <w:p w14:paraId="4782FF04" w14:textId="77777777" w:rsidR="00FE4DEF" w:rsidRPr="004B1A28" w:rsidRDefault="00FE4DEF" w:rsidP="00E762DF">
            <w:pPr>
              <w:pStyle w:val="NormalWeb"/>
              <w:jc w:val="center"/>
              <w:rPr>
                <w:b/>
              </w:rPr>
            </w:pPr>
            <w:r w:rsidRPr="004B1A28">
              <w:rPr>
                <w:b/>
              </w:rPr>
              <w:t>0.27</w:t>
            </w:r>
          </w:p>
        </w:tc>
        <w:tc>
          <w:tcPr>
            <w:tcW w:w="1531" w:type="dxa"/>
            <w:shd w:val="clear" w:color="auto" w:fill="FDE9D9" w:themeFill="accent6" w:themeFillTint="33"/>
            <w:hideMark/>
          </w:tcPr>
          <w:p w14:paraId="077E067C" w14:textId="77777777" w:rsidR="00FE4DEF" w:rsidRPr="004B1A28" w:rsidRDefault="00FE4DEF" w:rsidP="00E762DF">
            <w:pPr>
              <w:pStyle w:val="NormalWeb"/>
              <w:jc w:val="center"/>
              <w:rPr>
                <w:b/>
              </w:rPr>
            </w:pPr>
            <w:r w:rsidRPr="004B1A28">
              <w:rPr>
                <w:b/>
              </w:rPr>
              <w:t>3,433</w:t>
            </w:r>
          </w:p>
        </w:tc>
        <w:tc>
          <w:tcPr>
            <w:tcW w:w="1532" w:type="dxa"/>
            <w:shd w:val="clear" w:color="auto" w:fill="FDE9D9" w:themeFill="accent6" w:themeFillTint="33"/>
            <w:hideMark/>
          </w:tcPr>
          <w:p w14:paraId="08CB8836" w14:textId="77777777" w:rsidR="00FE4DEF" w:rsidRPr="004B1A28" w:rsidRDefault="00FE4DEF" w:rsidP="00E762DF">
            <w:pPr>
              <w:pStyle w:val="NormalWeb"/>
              <w:jc w:val="center"/>
              <w:rPr>
                <w:b/>
              </w:rPr>
            </w:pPr>
            <w:r w:rsidRPr="004B1A28">
              <w:rPr>
                <w:b/>
              </w:rPr>
              <w:t>6,168,229</w:t>
            </w:r>
          </w:p>
        </w:tc>
        <w:tc>
          <w:tcPr>
            <w:tcW w:w="1531" w:type="dxa"/>
            <w:shd w:val="clear" w:color="auto" w:fill="FDE9D9" w:themeFill="accent6" w:themeFillTint="33"/>
            <w:hideMark/>
          </w:tcPr>
          <w:p w14:paraId="033525D6" w14:textId="77777777" w:rsidR="00FE4DEF" w:rsidRPr="004B1A28" w:rsidRDefault="00FE4DEF" w:rsidP="00E762DF">
            <w:pPr>
              <w:pStyle w:val="NormalWeb"/>
              <w:jc w:val="center"/>
              <w:rPr>
                <w:b/>
              </w:rPr>
            </w:pPr>
            <w:r w:rsidRPr="004B1A28">
              <w:rPr>
                <w:b/>
              </w:rPr>
              <w:t>0.42</w:t>
            </w:r>
          </w:p>
        </w:tc>
        <w:tc>
          <w:tcPr>
            <w:tcW w:w="1532" w:type="dxa"/>
            <w:shd w:val="clear" w:color="auto" w:fill="FDE9D9" w:themeFill="accent6" w:themeFillTint="33"/>
            <w:hideMark/>
          </w:tcPr>
          <w:p w14:paraId="28F92848" w14:textId="77777777" w:rsidR="00FE4DEF" w:rsidRPr="004B1A28" w:rsidRDefault="00FE4DEF" w:rsidP="00E762DF">
            <w:pPr>
              <w:pStyle w:val="NormalWeb"/>
              <w:jc w:val="center"/>
              <w:rPr>
                <w:b/>
              </w:rPr>
            </w:pPr>
            <w:r w:rsidRPr="004B1A28">
              <w:rPr>
                <w:b/>
              </w:rPr>
              <w:t>24,322</w:t>
            </w:r>
          </w:p>
        </w:tc>
      </w:tr>
    </w:tbl>
    <w:p w14:paraId="6B269E2E" w14:textId="77777777" w:rsidR="00FE4DEF" w:rsidRDefault="00FE4DEF" w:rsidP="00B21656">
      <w:pPr>
        <w:pStyle w:val="CDIfootnotes"/>
      </w:pPr>
      <w:proofErr w:type="gramStart"/>
      <w:r>
        <w:t>a</w:t>
      </w:r>
      <w:proofErr w:type="gramEnd"/>
      <w:r>
        <w:tab/>
        <w:t>Data in this table are based on reports of notification by states and territories.</w:t>
      </w:r>
    </w:p>
    <w:p w14:paraId="438F3D6D" w14:textId="77777777" w:rsidR="00FE4DEF" w:rsidRDefault="00FE4DEF" w:rsidP="00B21656">
      <w:pPr>
        <w:pStyle w:val="CDIfootnotes"/>
      </w:pPr>
      <w:proofErr w:type="gramStart"/>
      <w:r>
        <w:t>b</w:t>
      </w:r>
      <w:proofErr w:type="gramEnd"/>
      <w:r>
        <w:tab/>
        <w:t xml:space="preserve">Population data based on Australian Bureau of Statistics (ABS) Estimated Resident Population (ERP) as at 30 June 2019. </w:t>
      </w:r>
    </w:p>
    <w:p w14:paraId="69345C08" w14:textId="77777777" w:rsidR="002640FE" w:rsidRDefault="002640FE" w:rsidP="00B21656">
      <w:pPr>
        <w:sectPr w:rsidR="002640FE" w:rsidSect="002640FE">
          <w:footnotePr>
            <w:numFmt w:val="lowerRoman"/>
          </w:footnotePr>
          <w:pgSz w:w="16838" w:h="11906" w:orient="landscape"/>
          <w:pgMar w:top="720" w:right="720" w:bottom="720" w:left="1134" w:header="709" w:footer="284" w:gutter="0"/>
          <w:cols w:space="708"/>
          <w:titlePg/>
          <w:docGrid w:linePitch="360"/>
        </w:sectPr>
      </w:pPr>
    </w:p>
    <w:p w14:paraId="18BB8C28" w14:textId="77777777" w:rsidR="003A03C6" w:rsidRPr="00B21656" w:rsidRDefault="003A03C6" w:rsidP="003A03C6">
      <w:pPr>
        <w:pStyle w:val="Heading1"/>
      </w:pPr>
      <w:r w:rsidRPr="00B21656">
        <w:lastRenderedPageBreak/>
        <w:t xml:space="preserve">Testing </w:t>
      </w:r>
    </w:p>
    <w:p w14:paraId="6DFC8790" w14:textId="77777777" w:rsidR="003A03C6" w:rsidRDefault="003A03C6" w:rsidP="003A03C6">
      <w:r>
        <w:t>As at 30 August 2020, a total of 6,168,229 tests have been conducted in Australia. High rates of testing have continued across the country, with the cumulative proportion of positive tests remaining low at less than 0.5% (Table 3). With the exception of Victoria, the cumulative testing positivity in individual jurisdictions is lower than 0.3%.</w:t>
      </w:r>
    </w:p>
    <w:p w14:paraId="0BE97F86" w14:textId="77777777" w:rsidR="00FE4DEF" w:rsidRDefault="00FE4DEF" w:rsidP="00B21656">
      <w:r>
        <w:t xml:space="preserve">During this reporting period 870,671 tests were conducted nationally, with a positivity rate of 0.27%. All states except Victoria reported a positivity rate of 0.03% or lower. Victoria reported a positivity rate of 0.90%, which is a decrease from the previous reporting period (1.71%). The low national positivity rate, along with high rates of testing, suggests an overall low prevalence of COVID-19 nationally. </w:t>
      </w:r>
    </w:p>
    <w:p w14:paraId="17CDF3DA" w14:textId="77777777" w:rsidR="00FE4DEF" w:rsidRDefault="00FE4DEF" w:rsidP="00B21656">
      <w:r>
        <w:t>For the fortnight ending 28 August 2020, testing rates were consistently high across age groups less than 60 years, and were lower in those aged 60 years and older (Figure 4). This was mostly driven by very high testing rates in those aged 19 years and under in NSW.</w:t>
      </w:r>
    </w:p>
    <w:p w14:paraId="5310A033" w14:textId="77777777" w:rsidR="00FE4DEF" w:rsidRDefault="00FE4DEF" w:rsidP="00B21656">
      <w:pPr>
        <w:pStyle w:val="CDIFigures"/>
      </w:pPr>
      <w:r>
        <w:t xml:space="preserve">Figure 4. SARS-CoV-2 (PCR) testing rates per 1,000 population per week by age </w:t>
      </w:r>
      <w:proofErr w:type="spellStart"/>
      <w:r>
        <w:t>group</w:t>
      </w:r>
      <w:r w:rsidRPr="00D82AAC">
        <w:rPr>
          <w:vertAlign w:val="superscript"/>
        </w:rPr>
        <w:t>a</w:t>
      </w:r>
      <w:proofErr w:type="gramStart"/>
      <w:r w:rsidRPr="00D82AAC">
        <w:rPr>
          <w:vertAlign w:val="superscript"/>
        </w:rPr>
        <w:t>,b</w:t>
      </w:r>
      <w:proofErr w:type="spellEnd"/>
      <w:proofErr w:type="gramEnd"/>
      <w:r>
        <w:t xml:space="preserve"> Australia, 1 May to 28 August 2020</w:t>
      </w:r>
    </w:p>
    <w:p w14:paraId="3FDEB299" w14:textId="77777777" w:rsidR="00FE4DEF" w:rsidRDefault="00FE4DEF">
      <w:pPr>
        <w:pStyle w:val="NormalWeb"/>
      </w:pPr>
      <w:r>
        <w:rPr>
          <w:noProof/>
        </w:rPr>
        <w:drawing>
          <wp:inline distT="0" distB="0" distL="0" distR="0" wp14:anchorId="4143AABE" wp14:editId="7C7C8F2B">
            <wp:extent cx="6155974" cy="5007678"/>
            <wp:effectExtent l="0" t="0" r="0" b="2540"/>
            <wp:docPr id="4" name="Picture 4" descr="A line graph showing the reported SARS-CoV-2 PCR testing rate per 1,000 population each week in each 20-year age range. Weekly testing rates for all age groups have risen overall from 1 May to 28 August, though for most age groups the change in testing rate is erratic across this time period. The highest rate of testing throughout July to mid-August has been in the 20–39 year age group (with 15 to 25 tests each week per 1,000 population). Testing rates are broadly similar across the 0–19, 20–39, and 40–59 years age groups, around 15–20 tests per 1,000 population per week, while testing rates are lower in those aged 60–79 years (10–12 tests per 1,000 population per week), and lowest in those 80 years and older (8–10 tests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2020\63-COVID-19 report 24\MS-Word output\figures_and_tables-web-resources\image\f4.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62635" cy="5013097"/>
                    </a:xfrm>
                    <a:prstGeom prst="rect">
                      <a:avLst/>
                    </a:prstGeom>
                  </pic:spPr>
                </pic:pic>
              </a:graphicData>
            </a:graphic>
          </wp:inline>
        </w:drawing>
      </w:r>
    </w:p>
    <w:p w14:paraId="5D766AE7" w14:textId="77777777" w:rsidR="00FE4DEF" w:rsidRDefault="00FE4DEF" w:rsidP="00B21656">
      <w:pPr>
        <w:pStyle w:val="CDIfootnotes"/>
      </w:pPr>
      <w:proofErr w:type="gramStart"/>
      <w:r>
        <w:t>a</w:t>
      </w:r>
      <w:proofErr w:type="gramEnd"/>
      <w:r>
        <w:tab/>
        <w:t>Data provided by jurisdictions to the National Incident Room (NIR) weekly.</w:t>
      </w:r>
    </w:p>
    <w:p w14:paraId="22EFF929" w14:textId="77777777" w:rsidR="00FE4DEF" w:rsidRDefault="00FE4DEF" w:rsidP="00B21656">
      <w:pPr>
        <w:pStyle w:val="CDIfootnotes"/>
      </w:pPr>
      <w:proofErr w:type="gramStart"/>
      <w:r>
        <w:t>b</w:t>
      </w:r>
      <w:proofErr w:type="gramEnd"/>
      <w:r>
        <w:tab/>
        <w:t xml:space="preserve">The jurisdictions reporting each week (i.e. the denominator population) may vary. </w:t>
      </w:r>
    </w:p>
    <w:p w14:paraId="6B365A2E" w14:textId="77777777" w:rsidR="004B1A28" w:rsidRDefault="004B1A28">
      <w:pPr>
        <w:rPr>
          <w:rFonts w:asciiTheme="majorHAnsi" w:eastAsiaTheme="majorEastAsia" w:hAnsiTheme="majorHAnsi" w:cstheme="majorBidi"/>
          <w:b/>
          <w:bCs/>
          <w:sz w:val="32"/>
          <w:szCs w:val="28"/>
        </w:rPr>
      </w:pPr>
      <w:r>
        <w:br w:type="page"/>
      </w:r>
    </w:p>
    <w:p w14:paraId="1F2E9112" w14:textId="77777777" w:rsidR="00FE4DEF" w:rsidRPr="00B21656" w:rsidRDefault="00FE4DEF" w:rsidP="00B21656">
      <w:pPr>
        <w:pStyle w:val="Heading1"/>
      </w:pPr>
      <w:r w:rsidRPr="00B21656">
        <w:lastRenderedPageBreak/>
        <w:t xml:space="preserve">Viral genomics </w:t>
      </w:r>
    </w:p>
    <w:p w14:paraId="58802AD7" w14:textId="77777777" w:rsidR="00FE4DEF" w:rsidRDefault="00FE4DEF" w:rsidP="00B21656">
      <w:r>
        <w:t>There are currently 7,175 SARS-CoV-2 genome sequences available from Australian cases on the global sequence repository, GISAID</w:t>
      </w:r>
      <w:r w:rsidR="00604610">
        <w:t>.</w:t>
      </w:r>
      <w:r w:rsidR="00AA1DDA">
        <w:rPr>
          <w:rStyle w:val="FootnoteReference"/>
        </w:rPr>
        <w:footnoteReference w:id="3"/>
      </w:r>
      <w:r>
        <w:t xml:space="preserve"> These sequences are dispersed throughout the global lineages, reflecting multiple concurrent introductions into Australia.</w:t>
      </w:r>
      <w:r>
        <w:rPr>
          <w:vertAlign w:val="superscript"/>
        </w:rPr>
        <w:t>3–5</w:t>
      </w:r>
      <w:r>
        <w:t xml:space="preserve"> Recent Australian SARS-CoV-2 sequences from the last month include 77 collected from NSW and 6 from South Australia. Most of these sequences from the last month belong to the B.1.1.25 lineage, reflecting ongoing local transmission of this lineage. </w:t>
      </w:r>
    </w:p>
    <w:p w14:paraId="47F86900" w14:textId="77777777" w:rsidR="00FE4DEF" w:rsidRPr="00B21656" w:rsidRDefault="00FE4DEF" w:rsidP="00B21656">
      <w:pPr>
        <w:pStyle w:val="Heading1"/>
      </w:pPr>
      <w:r w:rsidRPr="00B21656">
        <w:t xml:space="preserve">Aboriginal and Torres Strait Islander persons </w:t>
      </w:r>
    </w:p>
    <w:p w14:paraId="1FE0F83F" w14:textId="02B32352" w:rsidR="00FE4DEF" w:rsidRDefault="00FE4DEF" w:rsidP="00B21656">
      <w:r>
        <w:t xml:space="preserve">There have been 134 cases of COVID-19 notified in Aboriginal and Torres Strait Islander persons. This represents approximately 0.5% of all confirmed cases. Table 4 compares the remoteness of cases in Aboriginal and Torres Strait Islander persons with those in the </w:t>
      </w:r>
      <w:r w:rsidR="00CF5F38">
        <w:t>non-Indigenous</w:t>
      </w:r>
      <w:r>
        <w:t xml:space="preserve"> population. Approximately 20% (31) of all cases notified in Aboriginal and Torres Strait Islander persons are reported as acquired overseas, with almost half of these (14 cases) associated with cruise ships.</w:t>
      </w:r>
    </w:p>
    <w:p w14:paraId="14A05B29" w14:textId="77777777" w:rsidR="00FE4DEF" w:rsidRDefault="00FE4DEF" w:rsidP="00B21656">
      <w:pPr>
        <w:pStyle w:val="CDIFigures"/>
      </w:pPr>
      <w:r>
        <w:t>Table 4. COVID-19 notifications by Aboriginal and Torres Strait Islander status by jurisdiction, source of acquisition and remoteness classification as at 30 August 2020</w:t>
      </w:r>
      <w:r w:rsidRPr="00B21656">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34 notifications in Aboriginal and Torres Strait Islander people: 31 of these cases overseas-acquired; 78 locally acquired in a major city; 21 cases locally acquired in regional Australia; 3 cases locally acquired in remote or very remote Australia; and 1 case with unknown source of acquisition. The trend across all locally-acquired Non-Indigenous cases is broadly similar. Of 24 cases to date reported in remote or very remote Australia, 3 are in Aboriginal and Torres Strait Islander persons.&#10;"/>
      </w:tblPr>
      <w:tblGrid>
        <w:gridCol w:w="1768"/>
        <w:gridCol w:w="1351"/>
        <w:gridCol w:w="1346"/>
        <w:gridCol w:w="1361"/>
        <w:gridCol w:w="1580"/>
        <w:gridCol w:w="1258"/>
        <w:gridCol w:w="1075"/>
        <w:gridCol w:w="727"/>
      </w:tblGrid>
      <w:tr w:rsidR="00570590" w:rsidRPr="00570590" w14:paraId="7325FCCF" w14:textId="77777777" w:rsidTr="002E303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6D5F84D" w14:textId="77777777" w:rsidR="00FE4DEF" w:rsidRPr="00570590" w:rsidRDefault="00FE4DEF">
            <w:pPr>
              <w:rPr>
                <w:color w:val="FFFFFF" w:themeColor="background1"/>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39A39BF5" w14:textId="77777777" w:rsidR="00FE4DEF" w:rsidRPr="00570590" w:rsidRDefault="00FE4DEF" w:rsidP="00570590">
            <w:pPr>
              <w:pStyle w:val="NormalWeb"/>
              <w:jc w:val="center"/>
              <w:rPr>
                <w:color w:val="FFFFFF" w:themeColor="background1"/>
                <w:sz w:val="24"/>
                <w:szCs w:val="24"/>
              </w:rPr>
            </w:pPr>
            <w:r w:rsidRPr="00570590">
              <w:rPr>
                <w:color w:val="FFFFFF" w:themeColor="background1"/>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54A2D4C1" w14:textId="77777777" w:rsidR="00FE4DEF" w:rsidRPr="00570590" w:rsidRDefault="00FE4DEF" w:rsidP="00570590">
            <w:pPr>
              <w:pStyle w:val="NormalWeb"/>
              <w:jc w:val="center"/>
              <w:rPr>
                <w:color w:val="FFFFFF" w:themeColor="background1"/>
              </w:rPr>
            </w:pPr>
            <w:r w:rsidRPr="00570590">
              <w:rPr>
                <w:color w:val="FFFFFF" w:themeColor="background1"/>
              </w:rPr>
              <w:t>Overseas-acquired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05C8C649" w14:textId="77777777" w:rsidR="00FE4DEF" w:rsidRPr="00570590" w:rsidRDefault="00FE4DEF" w:rsidP="00570590">
            <w:pPr>
              <w:pStyle w:val="NormalWeb"/>
              <w:jc w:val="center"/>
              <w:rPr>
                <w:color w:val="FFFFFF" w:themeColor="background1"/>
              </w:rPr>
            </w:pPr>
            <w:proofErr w:type="spellStart"/>
            <w:r w:rsidRPr="00570590">
              <w:rPr>
                <w:color w:val="FFFFFF" w:themeColor="background1"/>
              </w:rPr>
              <w:t>Unknown</w:t>
            </w:r>
            <w:r w:rsidRPr="0004465E">
              <w:rPr>
                <w:color w:val="FFFFFF" w:themeColor="background1"/>
                <w:vertAlign w:val="superscript"/>
              </w:rPr>
              <w:t>b</w:t>
            </w:r>
            <w:proofErr w:type="spellEnd"/>
          </w:p>
        </w:tc>
        <w:tc>
          <w:tcPr>
            <w:tcW w:w="0" w:type="auto"/>
            <w:vMerge w:val="restart"/>
            <w:tcBorders>
              <w:left w:val="single" w:sz="2" w:space="0" w:color="FFFFFF" w:themeColor="background1"/>
              <w:bottom w:val="single" w:sz="2" w:space="0" w:color="FFFFFF" w:themeColor="background1"/>
            </w:tcBorders>
            <w:hideMark/>
          </w:tcPr>
          <w:p w14:paraId="026B8DA7" w14:textId="77777777" w:rsidR="00FE4DEF" w:rsidRPr="00570590" w:rsidRDefault="00FE4DEF" w:rsidP="00570590">
            <w:pPr>
              <w:pStyle w:val="NormalWeb"/>
              <w:jc w:val="center"/>
              <w:rPr>
                <w:color w:val="FFFFFF" w:themeColor="background1"/>
              </w:rPr>
            </w:pPr>
            <w:r w:rsidRPr="00570590">
              <w:rPr>
                <w:color w:val="FFFFFF" w:themeColor="background1"/>
              </w:rPr>
              <w:t>Total</w:t>
            </w:r>
          </w:p>
        </w:tc>
      </w:tr>
      <w:tr w:rsidR="00570590" w:rsidRPr="00570590" w14:paraId="05C878C3" w14:textId="77777777" w:rsidTr="002E303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3607370" w14:textId="77777777" w:rsidR="00FE4DEF" w:rsidRPr="00570590" w:rsidRDefault="00FE4DEF">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63938D2" w14:textId="77777777" w:rsidR="00FE4DEF" w:rsidRPr="00570590" w:rsidRDefault="00FE4DEF" w:rsidP="00570590">
            <w:pPr>
              <w:pStyle w:val="NormalWeb"/>
              <w:jc w:val="center"/>
              <w:rPr>
                <w:color w:val="FFFFFF" w:themeColor="background1"/>
              </w:rPr>
            </w:pPr>
            <w:r w:rsidRPr="00570590">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45C5C8" w14:textId="77777777" w:rsidR="00FE4DEF" w:rsidRPr="00570590" w:rsidRDefault="00FE4DEF" w:rsidP="00570590">
            <w:pPr>
              <w:pStyle w:val="NormalWeb"/>
              <w:jc w:val="center"/>
              <w:rPr>
                <w:color w:val="FFFFFF" w:themeColor="background1"/>
              </w:rPr>
            </w:pPr>
            <w:r w:rsidRPr="00570590">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BC135F0" w14:textId="77777777" w:rsidR="00FE4DEF" w:rsidRPr="00570590" w:rsidRDefault="00FE4DEF" w:rsidP="00570590">
            <w:pPr>
              <w:pStyle w:val="NormalWeb"/>
              <w:jc w:val="center"/>
              <w:rPr>
                <w:color w:val="FFFFFF" w:themeColor="background1"/>
              </w:rPr>
            </w:pPr>
            <w:r w:rsidRPr="00570590">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E3F1F70" w14:textId="77777777" w:rsidR="00FE4DEF" w:rsidRPr="00570590" w:rsidRDefault="00FE4DEF" w:rsidP="00570590">
            <w:pPr>
              <w:pStyle w:val="NormalWeb"/>
              <w:jc w:val="center"/>
              <w:rPr>
                <w:color w:val="FFFFFF" w:themeColor="background1"/>
              </w:rPr>
            </w:pPr>
            <w:r w:rsidRPr="00570590">
              <w:rPr>
                <w:color w:val="FFFFFF" w:themeColor="background1"/>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6A5F138" w14:textId="77777777" w:rsidR="00FE4DEF" w:rsidRPr="00570590" w:rsidRDefault="00FE4DEF" w:rsidP="00570590">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723A99E" w14:textId="77777777" w:rsidR="00FE4DEF" w:rsidRPr="00570590" w:rsidRDefault="00FE4DEF" w:rsidP="00570590">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1E2ED5B0" w14:textId="77777777" w:rsidR="00FE4DEF" w:rsidRPr="00570590" w:rsidRDefault="00FE4DEF" w:rsidP="00570590">
            <w:pPr>
              <w:jc w:val="center"/>
              <w:rPr>
                <w:color w:val="FFFFFF" w:themeColor="background1"/>
                <w:sz w:val="24"/>
                <w:szCs w:val="24"/>
              </w:rPr>
            </w:pPr>
          </w:p>
        </w:tc>
      </w:tr>
      <w:tr w:rsidR="00570590" w14:paraId="0B101009" w14:textId="77777777" w:rsidTr="0019775D">
        <w:tc>
          <w:tcPr>
            <w:tcW w:w="0" w:type="auto"/>
            <w:hideMark/>
          </w:tcPr>
          <w:p w14:paraId="76CD90AD" w14:textId="77777777" w:rsidR="00FE4DEF" w:rsidRDefault="00FE4DEF">
            <w:pPr>
              <w:pStyle w:val="NormalWeb"/>
            </w:pPr>
            <w:r>
              <w:t>Aboriginal and Torres Strait Islander</w:t>
            </w:r>
          </w:p>
        </w:tc>
        <w:tc>
          <w:tcPr>
            <w:tcW w:w="0" w:type="auto"/>
            <w:hideMark/>
          </w:tcPr>
          <w:p w14:paraId="473433C2" w14:textId="77777777" w:rsidR="00FE4DEF" w:rsidRDefault="00FE4DEF" w:rsidP="00570590">
            <w:pPr>
              <w:pStyle w:val="NormalWeb"/>
              <w:jc w:val="center"/>
            </w:pPr>
            <w:r>
              <w:t>78</w:t>
            </w:r>
          </w:p>
        </w:tc>
        <w:tc>
          <w:tcPr>
            <w:tcW w:w="0" w:type="auto"/>
            <w:hideMark/>
          </w:tcPr>
          <w:p w14:paraId="38B27D82" w14:textId="77777777" w:rsidR="00FE4DEF" w:rsidRDefault="00FE4DEF" w:rsidP="00570590">
            <w:pPr>
              <w:pStyle w:val="NormalWeb"/>
              <w:jc w:val="center"/>
            </w:pPr>
            <w:r>
              <w:t>15</w:t>
            </w:r>
          </w:p>
        </w:tc>
        <w:tc>
          <w:tcPr>
            <w:tcW w:w="0" w:type="auto"/>
            <w:hideMark/>
          </w:tcPr>
          <w:p w14:paraId="3285AA83" w14:textId="77777777" w:rsidR="00FE4DEF" w:rsidRDefault="00FE4DEF" w:rsidP="00570590">
            <w:pPr>
              <w:pStyle w:val="NormalWeb"/>
              <w:jc w:val="center"/>
            </w:pPr>
            <w:r>
              <w:t>6</w:t>
            </w:r>
          </w:p>
        </w:tc>
        <w:tc>
          <w:tcPr>
            <w:tcW w:w="0" w:type="auto"/>
            <w:hideMark/>
          </w:tcPr>
          <w:p w14:paraId="4CEB259A" w14:textId="77777777" w:rsidR="00FE4DEF" w:rsidRDefault="00FE4DEF" w:rsidP="00570590">
            <w:pPr>
              <w:pStyle w:val="NormalWeb"/>
              <w:jc w:val="center"/>
            </w:pPr>
            <w:r>
              <w:t>3</w:t>
            </w:r>
          </w:p>
        </w:tc>
        <w:tc>
          <w:tcPr>
            <w:tcW w:w="0" w:type="auto"/>
            <w:hideMark/>
          </w:tcPr>
          <w:p w14:paraId="740E5FC1" w14:textId="77777777" w:rsidR="00FE4DEF" w:rsidRDefault="00FE4DEF" w:rsidP="00570590">
            <w:pPr>
              <w:pStyle w:val="NormalWeb"/>
              <w:jc w:val="center"/>
            </w:pPr>
            <w:r>
              <w:t>31</w:t>
            </w:r>
          </w:p>
        </w:tc>
        <w:tc>
          <w:tcPr>
            <w:tcW w:w="0" w:type="auto"/>
            <w:hideMark/>
          </w:tcPr>
          <w:p w14:paraId="667C7502" w14:textId="77777777" w:rsidR="00FE4DEF" w:rsidRDefault="00FE4DEF" w:rsidP="00570590">
            <w:pPr>
              <w:pStyle w:val="NormalWeb"/>
              <w:jc w:val="center"/>
            </w:pPr>
            <w:r>
              <w:t>1</w:t>
            </w:r>
          </w:p>
        </w:tc>
        <w:tc>
          <w:tcPr>
            <w:tcW w:w="0" w:type="auto"/>
            <w:hideMark/>
          </w:tcPr>
          <w:p w14:paraId="4FA1BE58" w14:textId="77777777" w:rsidR="00FE4DEF" w:rsidRDefault="00FE4DEF" w:rsidP="00570590">
            <w:pPr>
              <w:pStyle w:val="NormalWeb"/>
              <w:jc w:val="center"/>
            </w:pPr>
            <w:r>
              <w:t>134</w:t>
            </w:r>
          </w:p>
        </w:tc>
      </w:tr>
      <w:tr w:rsidR="00FE4DEF" w14:paraId="1D87AA4C"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0243E97D" w14:textId="463BD227" w:rsidR="00FE4DEF" w:rsidRDefault="00CF5F38">
            <w:pPr>
              <w:pStyle w:val="NormalWeb"/>
            </w:pPr>
            <w:r>
              <w:t>non-Indigenous</w:t>
            </w:r>
          </w:p>
        </w:tc>
        <w:tc>
          <w:tcPr>
            <w:tcW w:w="0" w:type="auto"/>
            <w:hideMark/>
          </w:tcPr>
          <w:p w14:paraId="02610714" w14:textId="77777777" w:rsidR="00FE4DEF" w:rsidRDefault="00FE4DEF" w:rsidP="00570590">
            <w:pPr>
              <w:pStyle w:val="NormalWeb"/>
              <w:jc w:val="center"/>
            </w:pPr>
            <w:r>
              <w:t>18,960</w:t>
            </w:r>
          </w:p>
        </w:tc>
        <w:tc>
          <w:tcPr>
            <w:tcW w:w="0" w:type="auto"/>
            <w:hideMark/>
          </w:tcPr>
          <w:p w14:paraId="5F593341" w14:textId="77777777" w:rsidR="00FE4DEF" w:rsidRDefault="00FE4DEF" w:rsidP="00570590">
            <w:pPr>
              <w:pStyle w:val="NormalWeb"/>
              <w:jc w:val="center"/>
            </w:pPr>
            <w:r>
              <w:t>874</w:t>
            </w:r>
          </w:p>
        </w:tc>
        <w:tc>
          <w:tcPr>
            <w:tcW w:w="0" w:type="auto"/>
            <w:hideMark/>
          </w:tcPr>
          <w:p w14:paraId="7C101CCC" w14:textId="77777777" w:rsidR="00FE4DEF" w:rsidRDefault="00FE4DEF" w:rsidP="00570590">
            <w:pPr>
              <w:pStyle w:val="NormalWeb"/>
              <w:jc w:val="center"/>
            </w:pPr>
            <w:r>
              <w:t>225</w:t>
            </w:r>
          </w:p>
        </w:tc>
        <w:tc>
          <w:tcPr>
            <w:tcW w:w="0" w:type="auto"/>
            <w:hideMark/>
          </w:tcPr>
          <w:p w14:paraId="112DAEA8" w14:textId="77777777" w:rsidR="00FE4DEF" w:rsidRDefault="00FE4DEF" w:rsidP="00570590">
            <w:pPr>
              <w:pStyle w:val="NormalWeb"/>
              <w:jc w:val="center"/>
            </w:pPr>
            <w:r>
              <w:t>21</w:t>
            </w:r>
          </w:p>
        </w:tc>
        <w:tc>
          <w:tcPr>
            <w:tcW w:w="0" w:type="auto"/>
            <w:hideMark/>
          </w:tcPr>
          <w:p w14:paraId="20920FEA" w14:textId="77777777" w:rsidR="00FE4DEF" w:rsidRDefault="00FE4DEF" w:rsidP="00570590">
            <w:pPr>
              <w:pStyle w:val="NormalWeb"/>
              <w:jc w:val="center"/>
            </w:pPr>
            <w:r>
              <w:t>5,163</w:t>
            </w:r>
          </w:p>
        </w:tc>
        <w:tc>
          <w:tcPr>
            <w:tcW w:w="0" w:type="auto"/>
            <w:hideMark/>
          </w:tcPr>
          <w:p w14:paraId="1E795648" w14:textId="77777777" w:rsidR="00FE4DEF" w:rsidRDefault="00FE4DEF" w:rsidP="00570590">
            <w:pPr>
              <w:pStyle w:val="NormalWeb"/>
              <w:jc w:val="center"/>
            </w:pPr>
            <w:r>
              <w:t>309</w:t>
            </w:r>
          </w:p>
        </w:tc>
        <w:tc>
          <w:tcPr>
            <w:tcW w:w="0" w:type="auto"/>
            <w:hideMark/>
          </w:tcPr>
          <w:p w14:paraId="2FEFCC91" w14:textId="77777777" w:rsidR="00FE4DEF" w:rsidRDefault="00FE4DEF" w:rsidP="00570590">
            <w:pPr>
              <w:pStyle w:val="NormalWeb"/>
              <w:jc w:val="center"/>
            </w:pPr>
            <w:r>
              <w:t>25,552</w:t>
            </w:r>
          </w:p>
        </w:tc>
      </w:tr>
    </w:tbl>
    <w:p w14:paraId="789CF45B" w14:textId="77777777" w:rsidR="00FE4DEF" w:rsidRDefault="00FE4DEF" w:rsidP="00B21656">
      <w:pPr>
        <w:pStyle w:val="CDIfootnotes"/>
      </w:pPr>
      <w:proofErr w:type="spellStart"/>
      <w:proofErr w:type="gramStart"/>
      <w:r>
        <w:t>a</w:t>
      </w:r>
      <w:proofErr w:type="spellEnd"/>
      <w:proofErr w:type="gramEnd"/>
      <w:r>
        <w:tab/>
        <w:t>Excludes 1 probable Aboriginal and Torres Strait Islander case.</w:t>
      </w:r>
    </w:p>
    <w:p w14:paraId="38574397" w14:textId="53D1CD70" w:rsidR="00FE4DEF" w:rsidRDefault="00FE4DEF" w:rsidP="00B21656">
      <w:pPr>
        <w:pStyle w:val="CDIfootnotes"/>
      </w:pPr>
      <w:proofErr w:type="gramStart"/>
      <w:r>
        <w:t>b</w:t>
      </w:r>
      <w:proofErr w:type="gramEnd"/>
      <w:r>
        <w:tab/>
        <w:t xml:space="preserve">Includes 29 </w:t>
      </w:r>
      <w:r w:rsidR="00CF5F38">
        <w:t>non-Indigenous</w:t>
      </w:r>
      <w:r>
        <w:t xml:space="preserve"> cases classified as overseas residents who were diagnosed in Australia.</w:t>
      </w:r>
    </w:p>
    <w:p w14:paraId="06C8CD81" w14:textId="77777777" w:rsidR="003C726C" w:rsidRDefault="003C726C" w:rsidP="00B21656"/>
    <w:p w14:paraId="60807294" w14:textId="02967520" w:rsidR="00FE4DEF" w:rsidRDefault="00FE4DEF" w:rsidP="00B21656">
      <w:r>
        <w:t xml:space="preserve">The median age of COVID-19 cases in Aboriginal and Torres Strait Islander persons is 33 years (interquartile range, IQR: 22–51), which is younger than for </w:t>
      </w:r>
      <w:r w:rsidR="00CF5F38">
        <w:t>non-Indigenous</w:t>
      </w:r>
      <w:r>
        <w:t xml:space="preserve"> cases where the median age is 37 years (IQR: 25–57). </w:t>
      </w:r>
    </w:p>
    <w:p w14:paraId="3AB871C1" w14:textId="6DF73794" w:rsidR="00FE4DEF" w:rsidRDefault="00FE4DEF" w:rsidP="00B21656">
      <w:r>
        <w:t xml:space="preserve">By sex, there is a higher proportion of cases in Aboriginal and Torres Strait Islander females (59%; 79 cases) than in </w:t>
      </w:r>
      <w:r w:rsidR="00CF5F38">
        <w:t>non-Indigenous</w:t>
      </w:r>
      <w:r>
        <w:t xml:space="preserve"> females (51%; 13,078 cases). The differences observed in sex for Aboriginal and Torres Strait Islander people likely reflect the small number of cases rather than any specific transmission pattern. </w:t>
      </w:r>
    </w:p>
    <w:p w14:paraId="50F0D8B9" w14:textId="72DA23B2" w:rsidR="00FE4DEF" w:rsidRDefault="00FE4DEF" w:rsidP="00B21656">
      <w:r>
        <w:t xml:space="preserve">Overall, Aboriginal and Torres Strait Islander males are reporting a slightly higher proportions of cases in the under 29 and in the 60 to 69 year age groups compared to </w:t>
      </w:r>
      <w:r w:rsidR="00CF5F38">
        <w:t>non-Indigenous</w:t>
      </w:r>
      <w:r>
        <w:t xml:space="preserve">. This group also reports a lower proportion of cases in both the 40–49 and 50–59 year age groups compared to </w:t>
      </w:r>
      <w:r w:rsidR="00CF5F38">
        <w:t>non-Indigenous</w:t>
      </w:r>
      <w:r>
        <w:t xml:space="preserve"> males (Figure 5). Aboriginal and Torres Strait Islander males report no cases 80 years or older.</w:t>
      </w:r>
    </w:p>
    <w:p w14:paraId="42B7025B" w14:textId="30D4BDA3" w:rsidR="00FE4DEF" w:rsidRDefault="00FE4DEF" w:rsidP="00B21656">
      <w:pPr>
        <w:pStyle w:val="CDIFigures"/>
      </w:pPr>
      <w:r>
        <w:lastRenderedPageBreak/>
        <w:t xml:space="preserve">Figure 5. National COVID-19 notifications by age group and sex, Aboriginal and Torres Strait Islander persons and </w:t>
      </w:r>
      <w:r w:rsidR="00CF5F38">
        <w:t>non-Indigenous</w:t>
      </w:r>
      <w:r>
        <w:t xml:space="preserve"> </w:t>
      </w:r>
      <w:proofErr w:type="spellStart"/>
      <w:r>
        <w:t>Australians</w:t>
      </w:r>
      <w:r w:rsidRPr="00865807">
        <w:rPr>
          <w:vertAlign w:val="superscript"/>
        </w:rPr>
        <w:t>a</w:t>
      </w:r>
      <w:proofErr w:type="spellEnd"/>
      <w:r>
        <w:t xml:space="preserve"> as at 30 August 2020</w:t>
      </w:r>
    </w:p>
    <w:p w14:paraId="01E22C0A" w14:textId="77777777" w:rsidR="00FE4DEF" w:rsidRDefault="00FE4DEF">
      <w:pPr>
        <w:pStyle w:val="NormalWeb"/>
      </w:pPr>
      <w:r>
        <w:rPr>
          <w:noProof/>
        </w:rPr>
        <w:drawing>
          <wp:inline distT="0" distB="0" distL="0" distR="0" wp14:anchorId="234CFBFA" wp14:editId="518D6280">
            <wp:extent cx="6629400" cy="3642201"/>
            <wp:effectExtent l="0" t="0" r="0" b="0"/>
            <wp:docPr id="5" name="Picture 5" descr="A bar chart showing confirmed COVID-19 cases by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2020\63-COVID-19 report 24\MS-Word output\figures_and_tables-web-resources\image\f5.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7919" cy="3646882"/>
                    </a:xfrm>
                    <a:prstGeom prst="rect">
                      <a:avLst/>
                    </a:prstGeom>
                  </pic:spPr>
                </pic:pic>
              </a:graphicData>
            </a:graphic>
          </wp:inline>
        </w:drawing>
      </w:r>
    </w:p>
    <w:p w14:paraId="5CC019FA" w14:textId="570154D5" w:rsidR="00FE4DEF" w:rsidRDefault="00FE4DEF" w:rsidP="00B21656">
      <w:pPr>
        <w:pStyle w:val="CDIfootnotes"/>
      </w:pPr>
      <w:proofErr w:type="gramStart"/>
      <w:r>
        <w:t>a</w:t>
      </w:r>
      <w:proofErr w:type="gramEnd"/>
      <w:r>
        <w:tab/>
        <w:t>‘</w:t>
      </w:r>
      <w:r w:rsidR="00CF5F38">
        <w:t>non-Indigenous</w:t>
      </w:r>
      <w:r>
        <w:t xml:space="preserve">’ includes one person identified as gender X, and 88 </w:t>
      </w:r>
      <w:r w:rsidR="00CF5F38">
        <w:t>non-Indigenous</w:t>
      </w:r>
      <w:r>
        <w:t xml:space="preserve"> Australians with unknown gender.</w:t>
      </w:r>
    </w:p>
    <w:p w14:paraId="50B17B51" w14:textId="77777777" w:rsidR="00865807" w:rsidRDefault="00865807" w:rsidP="00B21656"/>
    <w:p w14:paraId="43D4A7B2" w14:textId="6AAA1F26" w:rsidR="00FE4DEF" w:rsidRDefault="00FE4DEF" w:rsidP="00B21656">
      <w:r>
        <w:t xml:space="preserve">Aboriginal and Torres Strait Islander females are reporting a much higher proportion of cases in the 10–19 year age group (17%) than is seen among </w:t>
      </w:r>
      <w:r w:rsidR="00CF5F38">
        <w:t>non-Indigenous</w:t>
      </w:r>
      <w:r>
        <w:t xml:space="preserve"> females (8%), though there are only 10 cases that are included in this age and sex grouping and small changes may have a large impact on proportions. However, rates in females aged 70 years and over are much lower than those in </w:t>
      </w:r>
      <w:r w:rsidR="00CF5F38">
        <w:t>non-Indigenous</w:t>
      </w:r>
      <w:r>
        <w:t xml:space="preserve"> females aged 70 years and over (Figure 5). </w:t>
      </w:r>
    </w:p>
    <w:p w14:paraId="50322643" w14:textId="77777777" w:rsidR="00FE4DEF" w:rsidRPr="00B21656" w:rsidRDefault="00FE4DEF" w:rsidP="00B21656">
      <w:pPr>
        <w:pStyle w:val="Heading1"/>
      </w:pPr>
      <w:r w:rsidRPr="00B21656">
        <w:t xml:space="preserve">Demographics of cases </w:t>
      </w:r>
    </w:p>
    <w:p w14:paraId="2EF2C6EF" w14:textId="77777777" w:rsidR="00FE4DEF" w:rsidRDefault="00FE4DEF" w:rsidP="00B21656">
      <w:r>
        <w:t>Historically, cases of COVID-19 have been reported in all age groups. In this reporting period, the largest number of cases has again occurred in those aged 20–29 years (383 cases), with the highest rate of infection for this period again occurring in the 90 years and older age group (51.3 per 100,000 population). This is a decrease from the previous reporting period where a rate of 82.9 cases per 100,000 population was reported for this age group. Additionally, for all notifications to date, the highest rate of infection remains in those aged 90 years and over with a rate of 351.3 per 100,000 population (Appendix B, Table B.1).</w:t>
      </w:r>
    </w:p>
    <w:p w14:paraId="32C69C90" w14:textId="77777777" w:rsidR="00FE4DEF" w:rsidRDefault="00FE4DEF" w:rsidP="00B21656">
      <w:r>
        <w:t>Children aged 0–9 years continue to have the lowest rate of infection (39.4 cases per 100,000 population), with testing rates comparable to other age groups (Figure 6). In this reporting period, school-aged children (defined as those aged 5 to 17 years) accounted for 11% of all cases, which is a higher proportion than they comprise in cumulative cases (8%).</w:t>
      </w:r>
    </w:p>
    <w:p w14:paraId="0870FCB5" w14:textId="77777777" w:rsidR="007300A0" w:rsidRDefault="007300A0">
      <w:pPr>
        <w:rPr>
          <w:b/>
        </w:rPr>
      </w:pPr>
      <w:r>
        <w:br w:type="page"/>
      </w:r>
    </w:p>
    <w:p w14:paraId="719B6EAA" w14:textId="77777777" w:rsidR="00FE4DEF" w:rsidRDefault="00FE4DEF" w:rsidP="00B21656">
      <w:pPr>
        <w:pStyle w:val="CDIFigures"/>
      </w:pPr>
      <w:r>
        <w:lastRenderedPageBreak/>
        <w:t>Figure 6. COVID-19 cases, by age group and sex, at 30 August 2020, Australia</w:t>
      </w:r>
    </w:p>
    <w:p w14:paraId="72F15176" w14:textId="77777777" w:rsidR="00FE4DEF" w:rsidRDefault="00FE4DEF">
      <w:pPr>
        <w:rPr>
          <w:rFonts w:eastAsia="Times New Roman"/>
        </w:rPr>
      </w:pPr>
      <w:r>
        <w:rPr>
          <w:rFonts w:eastAsia="Times New Roman"/>
          <w:noProof/>
        </w:rPr>
        <w:drawing>
          <wp:inline distT="0" distB="0" distL="0" distR="0" wp14:anchorId="4407DF58" wp14:editId="3808A856">
            <wp:extent cx="6743700" cy="7582887"/>
            <wp:effectExtent l="0" t="0" r="0" b="0"/>
            <wp:docPr id="6" name="Picture 6" descr="Two bar charts. The first chart shows rates per 100,000 of confirmed COVID-19 cases notified within the latest reporting period by age group and sex. The notification rate is highest for those aged 80 and over, especially females and especially those aged 90 and over. Across most age groups, rates per 100,000 population in the current reporting period have been higher for females than males. The second bar chart shows the cumulative rates per 100,000 population of confirmed COVID-19 cases as at 30 August by age group and sex. The notification rate is highest for those aged 90 and over. Cumulatively, since the outbreak’s onset, the highest notification rates have been in the 90 and over age group, followed by the 20 to 29 age group. In both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2020\63-COVID-19 report 24\MS-Word output\figures_and_tables-web-resources\image\f6-mansucript_and_xls_mismatch.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746181" cy="7585677"/>
                    </a:xfrm>
                    <a:prstGeom prst="rect">
                      <a:avLst/>
                    </a:prstGeom>
                  </pic:spPr>
                </pic:pic>
              </a:graphicData>
            </a:graphic>
          </wp:inline>
        </w:drawing>
      </w:r>
    </w:p>
    <w:p w14:paraId="2ECF16AD" w14:textId="77777777" w:rsidR="00FE4DEF" w:rsidRDefault="00FE4DEF" w:rsidP="00B21656">
      <w:r>
        <w:t xml:space="preserve">Cumulatively, all cases show a median age of 37 years (IQR: 25 to 57) which has not changed from the previous report. Prior to 1 June 2020, the population diagnosed was slightly older, with a median age of 46 years (IQR: 29 to 62) reflecting the primary source of acquisition via cruise ships and overseas travel. In cases reported after 1 June, the median age is 35 years (IQR: 24 to 54) reflecting household, possibly family-based, transmission in Victoria. The age distribution of cases in this reporting period is slightly older than those reported in the second peak overall; the median age in this reporting period is 37 years (IQR: 24 to 59). </w:t>
      </w:r>
    </w:p>
    <w:p w14:paraId="59A5B999" w14:textId="07736061" w:rsidR="00FE4DEF" w:rsidRDefault="00FE4DEF" w:rsidP="00B21656">
      <w:r>
        <w:t xml:space="preserve">Cumulatively, males show a higher per capita rate in more age groups than females (Figure 6), although females now account for a majority of cases aged 80 years and over. The largest difference between the two categories is seen in the 90 years and over age group where males report a cumulative rate of 304.5 cases per 100,000 population and females report a higher rate of 374.7 cases per 100,000 population (Table B.1). In this reporting period, </w:t>
      </w:r>
      <w:r w:rsidR="006E01A4" w:rsidRPr="006E01A4">
        <w:t>higher rates in each age group predomin</w:t>
      </w:r>
      <w:r w:rsidR="006E01A4">
        <w:t>antly continue to be in females</w:t>
      </w:r>
      <w:r>
        <w:t xml:space="preserve">, with a far </w:t>
      </w:r>
      <w:r>
        <w:lastRenderedPageBreak/>
        <w:t xml:space="preserve">higher rate in females 90 or over (56.8 infections per 100,000 population, compared to 40.6 infections per 100,000 population in males). </w:t>
      </w:r>
    </w:p>
    <w:p w14:paraId="45CDF8C0" w14:textId="77777777" w:rsidR="00FE4DEF" w:rsidRPr="00B21656" w:rsidRDefault="00FE4DEF" w:rsidP="00B21656">
      <w:pPr>
        <w:pStyle w:val="Heading1"/>
      </w:pPr>
      <w:r w:rsidRPr="00B21656">
        <w:t xml:space="preserve">Severity </w:t>
      </w:r>
    </w:p>
    <w:p w14:paraId="09CCB33F" w14:textId="77777777" w:rsidR="00FE4DEF" w:rsidRPr="00B21656" w:rsidRDefault="00FE4DEF" w:rsidP="00B21656">
      <w:pPr>
        <w:pStyle w:val="Heading2"/>
      </w:pPr>
      <w:r w:rsidRPr="00B21656">
        <w:t xml:space="preserve">Hospitalisations </w:t>
      </w:r>
    </w:p>
    <w:p w14:paraId="0D053508" w14:textId="77777777" w:rsidR="00FE4DEF" w:rsidRDefault="00FE4DEF" w:rsidP="00B21656">
      <w:r>
        <w:t>Using NNDSS data, the current estimated hospitalisation rate for all confirmed cases to date in Australia is 13%. This estimate aligns with: that provided by a hospital-notification data linkage study for NSW cases (12.4% of notified cases to 19 April hospitalised)</w:t>
      </w:r>
      <w:proofErr w:type="gramStart"/>
      <w:r>
        <w:t>;</w:t>
      </w:r>
      <w:r>
        <w:rPr>
          <w:vertAlign w:val="superscript"/>
        </w:rPr>
        <w:t>6</w:t>
      </w:r>
      <w:proofErr w:type="gramEnd"/>
      <w:r>
        <w:t xml:space="preserve"> early estimates from the United States of America (12% cases hospitalised between 12 February and 16 March 2020);</w:t>
      </w:r>
      <w:r>
        <w:rPr>
          <w:vertAlign w:val="superscript"/>
        </w:rPr>
        <w:t>7</w:t>
      </w:r>
      <w:r>
        <w:t xml:space="preserve"> and recent estimates from Canada (10% 11,091/111,733).</w:t>
      </w:r>
      <w:r>
        <w:rPr>
          <w:vertAlign w:val="superscript"/>
        </w:rPr>
        <w:t>8</w:t>
      </w:r>
      <w:r>
        <w:t xml:space="preserve"> </w:t>
      </w:r>
    </w:p>
    <w:p w14:paraId="1BD02FC7" w14:textId="5BDAC2E6" w:rsidR="00FE4DEF" w:rsidRDefault="00FE4DEF" w:rsidP="00B21656">
      <w:r>
        <w:t>Length of hospital stay for patients with confirmed COVID-19 generally increases with advancing age (Table 5). Those aged 60–79 years admitted to an intensive care unit (ICU) remain those who stayed the longest in hospital. The sentinel cohort of hospitalised COVID-19 patients captured in the Influenza Complications Alert Network (FluCAN) stayed an average of 8.8 days in hospital [Median: 6; IQR: 3–12]. While comparison internationally is difficult due to disparity in sample sizes, the Australian length of stay estimates are shorter than those published for European countries (median 12 days).</w:t>
      </w:r>
      <w:r>
        <w:rPr>
          <w:vertAlign w:val="superscript"/>
        </w:rPr>
        <w:t>3</w:t>
      </w:r>
      <w:r>
        <w:t xml:space="preserve"> The European data also showed that length of stay increased with age, with people aged over 60 years staying for a median time of 10 days (mean:13–14 days).</w:t>
      </w:r>
      <w:r>
        <w:rPr>
          <w:vertAlign w:val="superscript"/>
        </w:rPr>
        <w:t xml:space="preserve">3 </w:t>
      </w:r>
    </w:p>
    <w:p w14:paraId="1CC59DCB" w14:textId="77777777" w:rsidR="00FE4DEF" w:rsidRDefault="00FE4DEF" w:rsidP="00B21656">
      <w:pPr>
        <w:pStyle w:val="CDIFigures"/>
      </w:pPr>
      <w:r>
        <w:t>Table 5. Hospital length-of-stay for confirmed COVID-19 cases discharged alive from sentinel sites by ICU/high dependency unit (HDU) admission status (median, IQR and mean, standard deviation (SD))</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hospital length-of-stay for confirmed COVID-19 cases in the age groups of under 5 years, 5–17 years, 18–39 years, 40–59 years, 60–79 years and 80 years and over, for admission to general wards versus admission to intensive care units or high dependency units. Length-of-stay is substantially longer for ICU/HDU admission than for general ward admission across all age groups.&#10;"/>
      </w:tblPr>
      <w:tblGrid>
        <w:gridCol w:w="1726"/>
        <w:gridCol w:w="1452"/>
        <w:gridCol w:w="1452"/>
        <w:gridCol w:w="1453"/>
        <w:gridCol w:w="1005"/>
        <w:gridCol w:w="1899"/>
        <w:gridCol w:w="1453"/>
      </w:tblGrid>
      <w:tr w:rsidR="00FE4DEF" w14:paraId="4D55A854" w14:textId="77777777" w:rsidTr="00ED7DD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4432692" w14:textId="77777777" w:rsidR="00FE4DEF" w:rsidRPr="00865807" w:rsidRDefault="00FE4DEF">
            <w:pPr>
              <w:pStyle w:val="NormalWeb"/>
              <w:rPr>
                <w:color w:val="FFFFFF" w:themeColor="background1"/>
              </w:rPr>
            </w:pPr>
            <w:r w:rsidRPr="00865807">
              <w:rPr>
                <w:color w:val="FFFFFF" w:themeColor="background1"/>
              </w:rPr>
              <w:t>Age group (years)</w:t>
            </w:r>
          </w:p>
        </w:tc>
        <w:tc>
          <w:tcPr>
            <w:tcW w:w="4357" w:type="dxa"/>
            <w:gridSpan w:val="3"/>
            <w:tcBorders>
              <w:left w:val="single" w:sz="2" w:space="0" w:color="FFFFFF" w:themeColor="background1"/>
              <w:bottom w:val="single" w:sz="2" w:space="0" w:color="FFFFFF" w:themeColor="background1"/>
              <w:right w:val="single" w:sz="2" w:space="0" w:color="FFFFFF" w:themeColor="background1"/>
            </w:tcBorders>
            <w:hideMark/>
          </w:tcPr>
          <w:p w14:paraId="7F2BA738" w14:textId="77777777" w:rsidR="00FE4DEF" w:rsidRPr="00865807" w:rsidRDefault="00FE4DEF" w:rsidP="00865807">
            <w:pPr>
              <w:pStyle w:val="NormalWeb"/>
              <w:jc w:val="center"/>
              <w:rPr>
                <w:color w:val="FFFFFF" w:themeColor="background1"/>
              </w:rPr>
            </w:pPr>
            <w:r w:rsidRPr="00865807">
              <w:rPr>
                <w:color w:val="FFFFFF" w:themeColor="background1"/>
              </w:rPr>
              <w:t xml:space="preserve">General </w:t>
            </w:r>
            <w:proofErr w:type="spellStart"/>
            <w:r w:rsidRPr="00865807">
              <w:rPr>
                <w:color w:val="FFFFFF" w:themeColor="background1"/>
              </w:rPr>
              <w:t>ward</w:t>
            </w:r>
            <w:r w:rsidRPr="00865807">
              <w:rPr>
                <w:color w:val="FFFFFF" w:themeColor="background1"/>
                <w:vertAlign w:val="superscript"/>
              </w:rPr>
              <w:t>a</w:t>
            </w:r>
            <w:proofErr w:type="spellEnd"/>
          </w:p>
        </w:tc>
        <w:tc>
          <w:tcPr>
            <w:tcW w:w="4357" w:type="dxa"/>
            <w:gridSpan w:val="3"/>
            <w:tcBorders>
              <w:left w:val="single" w:sz="2" w:space="0" w:color="FFFFFF" w:themeColor="background1"/>
              <w:bottom w:val="single" w:sz="2" w:space="0" w:color="FFFFFF" w:themeColor="background1"/>
            </w:tcBorders>
            <w:hideMark/>
          </w:tcPr>
          <w:p w14:paraId="48BB1D08" w14:textId="77777777" w:rsidR="00FE4DEF" w:rsidRPr="00865807" w:rsidRDefault="00FE4DEF" w:rsidP="00C91EB6">
            <w:pPr>
              <w:pStyle w:val="NormalWeb"/>
              <w:jc w:val="center"/>
              <w:rPr>
                <w:color w:val="FFFFFF" w:themeColor="background1"/>
              </w:rPr>
            </w:pPr>
            <w:r w:rsidRPr="00865807">
              <w:rPr>
                <w:color w:val="FFFFFF" w:themeColor="background1"/>
              </w:rPr>
              <w:t>ICU/</w:t>
            </w:r>
            <w:proofErr w:type="spellStart"/>
            <w:r w:rsidRPr="00865807">
              <w:rPr>
                <w:color w:val="FFFFFF" w:themeColor="background1"/>
              </w:rPr>
              <w:t>HDU</w:t>
            </w:r>
            <w:r w:rsidRPr="00865807">
              <w:rPr>
                <w:color w:val="FFFFFF" w:themeColor="background1"/>
                <w:vertAlign w:val="superscript"/>
              </w:rPr>
              <w:t>b</w:t>
            </w:r>
            <w:proofErr w:type="spellEnd"/>
          </w:p>
        </w:tc>
      </w:tr>
      <w:tr w:rsidR="00FE4DEF" w14:paraId="119CB769" w14:textId="77777777" w:rsidTr="00ED7DD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A2771FC" w14:textId="77777777" w:rsidR="00FE4DEF" w:rsidRPr="00865807" w:rsidRDefault="00FE4DEF">
            <w:pPr>
              <w:rPr>
                <w:color w:val="FFFFFF" w:themeColor="background1"/>
                <w:sz w:val="24"/>
                <w:szCs w:val="24"/>
              </w:rPr>
            </w:pPr>
          </w:p>
        </w:tc>
        <w:tc>
          <w:tcPr>
            <w:tcW w:w="1452" w:type="dxa"/>
            <w:tcBorders>
              <w:top w:val="single" w:sz="2" w:space="0" w:color="FFFFFF" w:themeColor="background1"/>
              <w:left w:val="single" w:sz="2" w:space="0" w:color="FFFFFF" w:themeColor="background1"/>
              <w:right w:val="single" w:sz="2" w:space="0" w:color="FFFFFF" w:themeColor="background1"/>
            </w:tcBorders>
            <w:hideMark/>
          </w:tcPr>
          <w:p w14:paraId="064CB7BA" w14:textId="77777777" w:rsidR="00FE4DEF" w:rsidRPr="00865807" w:rsidRDefault="00FE4DEF" w:rsidP="00865807">
            <w:pPr>
              <w:pStyle w:val="NormalWeb"/>
              <w:jc w:val="center"/>
              <w:rPr>
                <w:color w:val="FFFFFF" w:themeColor="background1"/>
              </w:rPr>
            </w:pPr>
            <w:r w:rsidRPr="00865807">
              <w:rPr>
                <w:color w:val="FFFFFF" w:themeColor="background1"/>
              </w:rPr>
              <w:t>N</w:t>
            </w:r>
          </w:p>
        </w:tc>
        <w:tc>
          <w:tcPr>
            <w:tcW w:w="1452" w:type="dxa"/>
            <w:tcBorders>
              <w:top w:val="single" w:sz="2" w:space="0" w:color="FFFFFF" w:themeColor="background1"/>
              <w:left w:val="single" w:sz="2" w:space="0" w:color="FFFFFF" w:themeColor="background1"/>
              <w:right w:val="single" w:sz="2" w:space="0" w:color="FFFFFF" w:themeColor="background1"/>
            </w:tcBorders>
            <w:hideMark/>
          </w:tcPr>
          <w:p w14:paraId="4831129E" w14:textId="77777777" w:rsidR="00FE4DEF" w:rsidRPr="00865807" w:rsidRDefault="00FE4DEF" w:rsidP="00865807">
            <w:pPr>
              <w:pStyle w:val="NormalWeb"/>
              <w:jc w:val="center"/>
              <w:rPr>
                <w:color w:val="FFFFFF" w:themeColor="background1"/>
              </w:rPr>
            </w:pPr>
            <w:r w:rsidRPr="00865807">
              <w:rPr>
                <w:color w:val="FFFFFF" w:themeColor="background1"/>
              </w:rPr>
              <w:t>Median (IQR)</w:t>
            </w:r>
          </w:p>
        </w:tc>
        <w:tc>
          <w:tcPr>
            <w:tcW w:w="1453" w:type="dxa"/>
            <w:tcBorders>
              <w:top w:val="single" w:sz="2" w:space="0" w:color="FFFFFF" w:themeColor="background1"/>
              <w:left w:val="single" w:sz="2" w:space="0" w:color="FFFFFF" w:themeColor="background1"/>
              <w:right w:val="single" w:sz="2" w:space="0" w:color="FFFFFF" w:themeColor="background1"/>
            </w:tcBorders>
            <w:hideMark/>
          </w:tcPr>
          <w:p w14:paraId="1DA40C25" w14:textId="77777777" w:rsidR="00FE4DEF" w:rsidRPr="00865807" w:rsidRDefault="00FE4DEF" w:rsidP="00865807">
            <w:pPr>
              <w:pStyle w:val="NormalWeb"/>
              <w:jc w:val="center"/>
              <w:rPr>
                <w:color w:val="FFFFFF" w:themeColor="background1"/>
              </w:rPr>
            </w:pPr>
            <w:r w:rsidRPr="00865807">
              <w:rPr>
                <w:color w:val="FFFFFF" w:themeColor="background1"/>
              </w:rPr>
              <w:t>Mean (SD)</w:t>
            </w:r>
          </w:p>
        </w:tc>
        <w:tc>
          <w:tcPr>
            <w:tcW w:w="1005" w:type="dxa"/>
            <w:tcBorders>
              <w:top w:val="single" w:sz="2" w:space="0" w:color="FFFFFF" w:themeColor="background1"/>
              <w:left w:val="single" w:sz="2" w:space="0" w:color="FFFFFF" w:themeColor="background1"/>
              <w:right w:val="single" w:sz="2" w:space="0" w:color="FFFFFF" w:themeColor="background1"/>
            </w:tcBorders>
            <w:hideMark/>
          </w:tcPr>
          <w:p w14:paraId="3972ABA0" w14:textId="77777777" w:rsidR="00FE4DEF" w:rsidRPr="00865807" w:rsidRDefault="00FE4DEF" w:rsidP="00865807">
            <w:pPr>
              <w:pStyle w:val="NormalWeb"/>
              <w:jc w:val="center"/>
              <w:rPr>
                <w:color w:val="FFFFFF" w:themeColor="background1"/>
              </w:rPr>
            </w:pPr>
            <w:r w:rsidRPr="00865807">
              <w:rPr>
                <w:color w:val="FFFFFF" w:themeColor="background1"/>
              </w:rPr>
              <w:t>N</w:t>
            </w:r>
          </w:p>
        </w:tc>
        <w:tc>
          <w:tcPr>
            <w:tcW w:w="1899" w:type="dxa"/>
            <w:tcBorders>
              <w:top w:val="single" w:sz="2" w:space="0" w:color="FFFFFF" w:themeColor="background1"/>
              <w:left w:val="single" w:sz="2" w:space="0" w:color="FFFFFF" w:themeColor="background1"/>
              <w:right w:val="single" w:sz="2" w:space="0" w:color="FFFFFF" w:themeColor="background1"/>
            </w:tcBorders>
            <w:hideMark/>
          </w:tcPr>
          <w:p w14:paraId="7F2EFE33" w14:textId="77777777" w:rsidR="00FE4DEF" w:rsidRPr="00865807" w:rsidRDefault="00FE4DEF" w:rsidP="00865807">
            <w:pPr>
              <w:pStyle w:val="NormalWeb"/>
              <w:jc w:val="center"/>
              <w:rPr>
                <w:color w:val="FFFFFF" w:themeColor="background1"/>
              </w:rPr>
            </w:pPr>
            <w:r w:rsidRPr="00865807">
              <w:rPr>
                <w:color w:val="FFFFFF" w:themeColor="background1"/>
              </w:rPr>
              <w:t>Median (IQR)</w:t>
            </w:r>
          </w:p>
        </w:tc>
        <w:tc>
          <w:tcPr>
            <w:tcW w:w="1453" w:type="dxa"/>
            <w:tcBorders>
              <w:top w:val="single" w:sz="2" w:space="0" w:color="FFFFFF" w:themeColor="background1"/>
              <w:left w:val="single" w:sz="2" w:space="0" w:color="FFFFFF" w:themeColor="background1"/>
            </w:tcBorders>
            <w:hideMark/>
          </w:tcPr>
          <w:p w14:paraId="48DAEC01" w14:textId="77777777" w:rsidR="00FE4DEF" w:rsidRPr="00865807" w:rsidRDefault="00FE4DEF" w:rsidP="00865807">
            <w:pPr>
              <w:pStyle w:val="NormalWeb"/>
              <w:jc w:val="center"/>
              <w:rPr>
                <w:color w:val="FFFFFF" w:themeColor="background1"/>
              </w:rPr>
            </w:pPr>
            <w:r w:rsidRPr="00865807">
              <w:rPr>
                <w:color w:val="FFFFFF" w:themeColor="background1"/>
              </w:rPr>
              <w:t>Mean (SD)</w:t>
            </w:r>
          </w:p>
        </w:tc>
      </w:tr>
      <w:tr w:rsidR="00865807" w14:paraId="63438E11" w14:textId="77777777" w:rsidTr="00865807">
        <w:tc>
          <w:tcPr>
            <w:tcW w:w="0" w:type="auto"/>
            <w:hideMark/>
          </w:tcPr>
          <w:p w14:paraId="4434F0D7" w14:textId="77777777" w:rsidR="00FE4DEF" w:rsidRDefault="00FE4DEF">
            <w:pPr>
              <w:pStyle w:val="NormalWeb"/>
            </w:pPr>
            <w:r>
              <w:t>Under 5</w:t>
            </w:r>
          </w:p>
        </w:tc>
        <w:tc>
          <w:tcPr>
            <w:tcW w:w="1452" w:type="dxa"/>
            <w:hideMark/>
          </w:tcPr>
          <w:p w14:paraId="3E083CB3" w14:textId="77777777" w:rsidR="00FE4DEF" w:rsidRDefault="00FE4DEF" w:rsidP="00865807">
            <w:pPr>
              <w:pStyle w:val="NormalWeb"/>
              <w:jc w:val="center"/>
            </w:pPr>
            <w:r>
              <w:t>16</w:t>
            </w:r>
          </w:p>
        </w:tc>
        <w:tc>
          <w:tcPr>
            <w:tcW w:w="1452" w:type="dxa"/>
            <w:hideMark/>
          </w:tcPr>
          <w:p w14:paraId="5D0D7BA3" w14:textId="77777777" w:rsidR="00FE4DEF" w:rsidRDefault="00FE4DEF" w:rsidP="00865807">
            <w:pPr>
              <w:pStyle w:val="NormalWeb"/>
              <w:jc w:val="center"/>
            </w:pPr>
            <w:r>
              <w:t>2.0 (0.5–6.5)</w:t>
            </w:r>
          </w:p>
        </w:tc>
        <w:tc>
          <w:tcPr>
            <w:tcW w:w="1453" w:type="dxa"/>
            <w:hideMark/>
          </w:tcPr>
          <w:p w14:paraId="694D0988" w14:textId="77777777" w:rsidR="00FE4DEF" w:rsidRDefault="00FE4DEF" w:rsidP="00865807">
            <w:pPr>
              <w:pStyle w:val="NormalWeb"/>
              <w:jc w:val="center"/>
            </w:pPr>
            <w:r>
              <w:t>4.4 (5.6)</w:t>
            </w:r>
          </w:p>
        </w:tc>
        <w:tc>
          <w:tcPr>
            <w:tcW w:w="1005" w:type="dxa"/>
            <w:hideMark/>
          </w:tcPr>
          <w:p w14:paraId="4B73A722" w14:textId="77777777" w:rsidR="00FE4DEF" w:rsidRDefault="00FE4DEF" w:rsidP="00865807">
            <w:pPr>
              <w:pStyle w:val="NormalWeb"/>
              <w:jc w:val="center"/>
            </w:pPr>
            <w:r>
              <w:t>&lt; 5</w:t>
            </w:r>
          </w:p>
        </w:tc>
        <w:tc>
          <w:tcPr>
            <w:tcW w:w="1899" w:type="dxa"/>
            <w:hideMark/>
          </w:tcPr>
          <w:p w14:paraId="2EDF9F71" w14:textId="77777777" w:rsidR="00FE4DEF" w:rsidRDefault="00FE4DEF" w:rsidP="00865807">
            <w:pPr>
              <w:pStyle w:val="NormalWeb"/>
              <w:jc w:val="center"/>
            </w:pPr>
            <w:r>
              <w:t>52</w:t>
            </w:r>
          </w:p>
        </w:tc>
        <w:tc>
          <w:tcPr>
            <w:tcW w:w="1453" w:type="dxa"/>
            <w:hideMark/>
          </w:tcPr>
          <w:p w14:paraId="53F46E98" w14:textId="77777777" w:rsidR="00FE4DEF" w:rsidRDefault="00FE4DEF" w:rsidP="00865807">
            <w:pPr>
              <w:pStyle w:val="NormalWeb"/>
              <w:jc w:val="center"/>
            </w:pPr>
            <w:r>
              <w:t>52</w:t>
            </w:r>
          </w:p>
        </w:tc>
      </w:tr>
      <w:tr w:rsidR="00FE4DEF" w14:paraId="4CAF94FD" w14:textId="77777777" w:rsidTr="00865807">
        <w:trPr>
          <w:cnfStyle w:val="000000010000" w:firstRow="0" w:lastRow="0" w:firstColumn="0" w:lastColumn="0" w:oddVBand="0" w:evenVBand="0" w:oddHBand="0" w:evenHBand="1" w:firstRowFirstColumn="0" w:firstRowLastColumn="0" w:lastRowFirstColumn="0" w:lastRowLastColumn="0"/>
        </w:trPr>
        <w:tc>
          <w:tcPr>
            <w:tcW w:w="0" w:type="auto"/>
            <w:hideMark/>
          </w:tcPr>
          <w:p w14:paraId="31ADFBA4" w14:textId="77777777" w:rsidR="00FE4DEF" w:rsidRDefault="00FE4DEF">
            <w:pPr>
              <w:pStyle w:val="NormalWeb"/>
            </w:pPr>
            <w:r>
              <w:t>5–17</w:t>
            </w:r>
          </w:p>
        </w:tc>
        <w:tc>
          <w:tcPr>
            <w:tcW w:w="1452" w:type="dxa"/>
            <w:hideMark/>
          </w:tcPr>
          <w:p w14:paraId="7A9B97C5" w14:textId="77777777" w:rsidR="00FE4DEF" w:rsidRDefault="00FE4DEF" w:rsidP="00865807">
            <w:pPr>
              <w:pStyle w:val="NormalWeb"/>
              <w:jc w:val="center"/>
            </w:pPr>
            <w:r>
              <w:t>12</w:t>
            </w:r>
          </w:p>
        </w:tc>
        <w:tc>
          <w:tcPr>
            <w:tcW w:w="1452" w:type="dxa"/>
            <w:hideMark/>
          </w:tcPr>
          <w:p w14:paraId="3E1A4E90" w14:textId="77777777" w:rsidR="00FE4DEF" w:rsidRDefault="00FE4DEF" w:rsidP="00865807">
            <w:pPr>
              <w:pStyle w:val="NormalWeb"/>
              <w:jc w:val="center"/>
            </w:pPr>
            <w:r>
              <w:t>4.0 (0.5–6.5)</w:t>
            </w:r>
          </w:p>
        </w:tc>
        <w:tc>
          <w:tcPr>
            <w:tcW w:w="1453" w:type="dxa"/>
            <w:hideMark/>
          </w:tcPr>
          <w:p w14:paraId="1244B6AB" w14:textId="77777777" w:rsidR="00FE4DEF" w:rsidRDefault="00FE4DEF" w:rsidP="00865807">
            <w:pPr>
              <w:pStyle w:val="NormalWeb"/>
              <w:jc w:val="center"/>
            </w:pPr>
            <w:r>
              <w:t>4.2 (4.0)</w:t>
            </w:r>
          </w:p>
        </w:tc>
        <w:tc>
          <w:tcPr>
            <w:tcW w:w="1005" w:type="dxa"/>
            <w:hideMark/>
          </w:tcPr>
          <w:p w14:paraId="7120751E" w14:textId="77777777" w:rsidR="00FE4DEF" w:rsidRDefault="00FE4DEF" w:rsidP="00865807">
            <w:pPr>
              <w:pStyle w:val="NormalWeb"/>
              <w:jc w:val="center"/>
            </w:pPr>
            <w:r>
              <w:t>3</w:t>
            </w:r>
          </w:p>
        </w:tc>
        <w:tc>
          <w:tcPr>
            <w:tcW w:w="1899" w:type="dxa"/>
            <w:hideMark/>
          </w:tcPr>
          <w:p w14:paraId="0539E62E" w14:textId="77777777" w:rsidR="00FE4DEF" w:rsidRDefault="00FE4DEF" w:rsidP="00865807">
            <w:pPr>
              <w:pStyle w:val="NormalWeb"/>
              <w:jc w:val="center"/>
            </w:pPr>
            <w:r>
              <w:t>5.0 (1.0–25.0)</w:t>
            </w:r>
          </w:p>
        </w:tc>
        <w:tc>
          <w:tcPr>
            <w:tcW w:w="1453" w:type="dxa"/>
            <w:hideMark/>
          </w:tcPr>
          <w:p w14:paraId="194023F1" w14:textId="77777777" w:rsidR="00FE4DEF" w:rsidRDefault="00FE4DEF" w:rsidP="00865807">
            <w:pPr>
              <w:pStyle w:val="NormalWeb"/>
              <w:jc w:val="center"/>
            </w:pPr>
            <w:r>
              <w:t>10.3 (12.9)</w:t>
            </w:r>
          </w:p>
        </w:tc>
      </w:tr>
      <w:tr w:rsidR="00865807" w14:paraId="60E0DC04" w14:textId="77777777" w:rsidTr="00865807">
        <w:tc>
          <w:tcPr>
            <w:tcW w:w="0" w:type="auto"/>
            <w:hideMark/>
          </w:tcPr>
          <w:p w14:paraId="06F38FD8" w14:textId="77777777" w:rsidR="00FE4DEF" w:rsidRDefault="00FE4DEF">
            <w:pPr>
              <w:pStyle w:val="NormalWeb"/>
            </w:pPr>
            <w:r>
              <w:t>18–39</w:t>
            </w:r>
          </w:p>
        </w:tc>
        <w:tc>
          <w:tcPr>
            <w:tcW w:w="1452" w:type="dxa"/>
            <w:hideMark/>
          </w:tcPr>
          <w:p w14:paraId="48E21474" w14:textId="77777777" w:rsidR="00FE4DEF" w:rsidRDefault="00FE4DEF" w:rsidP="00865807">
            <w:pPr>
              <w:pStyle w:val="NormalWeb"/>
              <w:jc w:val="center"/>
            </w:pPr>
            <w:r>
              <w:t>39</w:t>
            </w:r>
          </w:p>
        </w:tc>
        <w:tc>
          <w:tcPr>
            <w:tcW w:w="1452" w:type="dxa"/>
            <w:hideMark/>
          </w:tcPr>
          <w:p w14:paraId="24378ED1" w14:textId="77777777" w:rsidR="00FE4DEF" w:rsidRDefault="00FE4DEF" w:rsidP="00865807">
            <w:pPr>
              <w:pStyle w:val="NormalWeb"/>
              <w:jc w:val="center"/>
            </w:pPr>
            <w:r>
              <w:t>4.0 (1.0–8.0)</w:t>
            </w:r>
          </w:p>
        </w:tc>
        <w:tc>
          <w:tcPr>
            <w:tcW w:w="1453" w:type="dxa"/>
            <w:hideMark/>
          </w:tcPr>
          <w:p w14:paraId="026EB841" w14:textId="77777777" w:rsidR="00FE4DEF" w:rsidRDefault="00FE4DEF" w:rsidP="00865807">
            <w:pPr>
              <w:pStyle w:val="NormalWeb"/>
              <w:jc w:val="center"/>
            </w:pPr>
            <w:r>
              <w:t>5.9 (6.5)</w:t>
            </w:r>
          </w:p>
        </w:tc>
        <w:tc>
          <w:tcPr>
            <w:tcW w:w="1005" w:type="dxa"/>
            <w:hideMark/>
          </w:tcPr>
          <w:p w14:paraId="6C9F3E4C" w14:textId="77777777" w:rsidR="00FE4DEF" w:rsidRDefault="00FE4DEF" w:rsidP="00865807">
            <w:pPr>
              <w:pStyle w:val="NormalWeb"/>
              <w:jc w:val="center"/>
            </w:pPr>
            <w:r>
              <w:t>38</w:t>
            </w:r>
          </w:p>
        </w:tc>
        <w:tc>
          <w:tcPr>
            <w:tcW w:w="1899" w:type="dxa"/>
            <w:hideMark/>
          </w:tcPr>
          <w:p w14:paraId="3425DBA7" w14:textId="77777777" w:rsidR="00FE4DEF" w:rsidRDefault="00FE4DEF" w:rsidP="00865807">
            <w:pPr>
              <w:pStyle w:val="NormalWeb"/>
              <w:jc w:val="center"/>
            </w:pPr>
            <w:r>
              <w:t>6.0 (5.0–11.0)</w:t>
            </w:r>
          </w:p>
        </w:tc>
        <w:tc>
          <w:tcPr>
            <w:tcW w:w="1453" w:type="dxa"/>
            <w:hideMark/>
          </w:tcPr>
          <w:p w14:paraId="2B6871C2" w14:textId="77777777" w:rsidR="00FE4DEF" w:rsidRDefault="00FE4DEF" w:rsidP="00865807">
            <w:pPr>
              <w:pStyle w:val="NormalWeb"/>
              <w:jc w:val="center"/>
            </w:pPr>
            <w:r>
              <w:t>9.45 (11.3)</w:t>
            </w:r>
          </w:p>
        </w:tc>
      </w:tr>
      <w:tr w:rsidR="00FE4DEF" w14:paraId="7429ED6A" w14:textId="77777777" w:rsidTr="00865807">
        <w:trPr>
          <w:cnfStyle w:val="000000010000" w:firstRow="0" w:lastRow="0" w:firstColumn="0" w:lastColumn="0" w:oddVBand="0" w:evenVBand="0" w:oddHBand="0" w:evenHBand="1" w:firstRowFirstColumn="0" w:firstRowLastColumn="0" w:lastRowFirstColumn="0" w:lastRowLastColumn="0"/>
        </w:trPr>
        <w:tc>
          <w:tcPr>
            <w:tcW w:w="0" w:type="auto"/>
            <w:hideMark/>
          </w:tcPr>
          <w:p w14:paraId="2D657CAA" w14:textId="77777777" w:rsidR="00FE4DEF" w:rsidRDefault="00FE4DEF">
            <w:pPr>
              <w:pStyle w:val="NormalWeb"/>
            </w:pPr>
            <w:r>
              <w:t>40–59</w:t>
            </w:r>
          </w:p>
        </w:tc>
        <w:tc>
          <w:tcPr>
            <w:tcW w:w="1452" w:type="dxa"/>
            <w:hideMark/>
          </w:tcPr>
          <w:p w14:paraId="296C5F39" w14:textId="77777777" w:rsidR="00FE4DEF" w:rsidRDefault="00FE4DEF" w:rsidP="00865807">
            <w:pPr>
              <w:pStyle w:val="NormalWeb"/>
              <w:jc w:val="center"/>
            </w:pPr>
            <w:r>
              <w:t>52</w:t>
            </w:r>
          </w:p>
        </w:tc>
        <w:tc>
          <w:tcPr>
            <w:tcW w:w="1452" w:type="dxa"/>
            <w:hideMark/>
          </w:tcPr>
          <w:p w14:paraId="3D8DE2E7" w14:textId="77777777" w:rsidR="00FE4DEF" w:rsidRDefault="00FE4DEF" w:rsidP="00865807">
            <w:pPr>
              <w:pStyle w:val="NormalWeb"/>
              <w:jc w:val="center"/>
            </w:pPr>
            <w:r>
              <w:t>4.0 (2.0–10.0)</w:t>
            </w:r>
          </w:p>
        </w:tc>
        <w:tc>
          <w:tcPr>
            <w:tcW w:w="1453" w:type="dxa"/>
            <w:hideMark/>
          </w:tcPr>
          <w:p w14:paraId="07467F8E" w14:textId="77777777" w:rsidR="00FE4DEF" w:rsidRDefault="00FE4DEF" w:rsidP="00865807">
            <w:pPr>
              <w:pStyle w:val="NormalWeb"/>
              <w:jc w:val="center"/>
            </w:pPr>
            <w:r>
              <w:t>7.9 (10.3)</w:t>
            </w:r>
          </w:p>
        </w:tc>
        <w:tc>
          <w:tcPr>
            <w:tcW w:w="1005" w:type="dxa"/>
            <w:hideMark/>
          </w:tcPr>
          <w:p w14:paraId="36981093" w14:textId="77777777" w:rsidR="00FE4DEF" w:rsidRDefault="00FE4DEF" w:rsidP="00865807">
            <w:pPr>
              <w:pStyle w:val="NormalWeb"/>
              <w:jc w:val="center"/>
            </w:pPr>
            <w:r>
              <w:t>114</w:t>
            </w:r>
          </w:p>
        </w:tc>
        <w:tc>
          <w:tcPr>
            <w:tcW w:w="1899" w:type="dxa"/>
            <w:hideMark/>
          </w:tcPr>
          <w:p w14:paraId="02C0B4C4" w14:textId="77777777" w:rsidR="00FE4DEF" w:rsidRDefault="00FE4DEF" w:rsidP="00865807">
            <w:pPr>
              <w:pStyle w:val="NormalWeb"/>
              <w:jc w:val="center"/>
            </w:pPr>
            <w:r>
              <w:t>11 (8.0–20.0)</w:t>
            </w:r>
          </w:p>
        </w:tc>
        <w:tc>
          <w:tcPr>
            <w:tcW w:w="1453" w:type="dxa"/>
            <w:hideMark/>
          </w:tcPr>
          <w:p w14:paraId="35E3831E" w14:textId="77777777" w:rsidR="00FE4DEF" w:rsidRDefault="00FE4DEF" w:rsidP="00865807">
            <w:pPr>
              <w:pStyle w:val="NormalWeb"/>
              <w:jc w:val="center"/>
            </w:pPr>
            <w:r>
              <w:t>15.7 (14.2 )</w:t>
            </w:r>
          </w:p>
        </w:tc>
      </w:tr>
      <w:tr w:rsidR="00865807" w14:paraId="211D0E42" w14:textId="77777777" w:rsidTr="00865807">
        <w:tc>
          <w:tcPr>
            <w:tcW w:w="0" w:type="auto"/>
            <w:hideMark/>
          </w:tcPr>
          <w:p w14:paraId="0785F259" w14:textId="77777777" w:rsidR="00FE4DEF" w:rsidRDefault="00FE4DEF">
            <w:pPr>
              <w:pStyle w:val="NormalWeb"/>
            </w:pPr>
            <w:r>
              <w:t>60–79</w:t>
            </w:r>
          </w:p>
        </w:tc>
        <w:tc>
          <w:tcPr>
            <w:tcW w:w="1452" w:type="dxa"/>
            <w:hideMark/>
          </w:tcPr>
          <w:p w14:paraId="38AEF71B" w14:textId="77777777" w:rsidR="00FE4DEF" w:rsidRDefault="00FE4DEF" w:rsidP="00865807">
            <w:pPr>
              <w:pStyle w:val="NormalWeb"/>
              <w:jc w:val="center"/>
            </w:pPr>
            <w:r>
              <w:t>53</w:t>
            </w:r>
          </w:p>
        </w:tc>
        <w:tc>
          <w:tcPr>
            <w:tcW w:w="1452" w:type="dxa"/>
            <w:hideMark/>
          </w:tcPr>
          <w:p w14:paraId="2B4A982F" w14:textId="77777777" w:rsidR="00FE4DEF" w:rsidRDefault="00FE4DEF" w:rsidP="00865807">
            <w:pPr>
              <w:pStyle w:val="NormalWeb"/>
              <w:jc w:val="center"/>
            </w:pPr>
            <w:r>
              <w:t>7.0 (4.0–13.0)</w:t>
            </w:r>
          </w:p>
        </w:tc>
        <w:tc>
          <w:tcPr>
            <w:tcW w:w="1453" w:type="dxa"/>
            <w:hideMark/>
          </w:tcPr>
          <w:p w14:paraId="67BD0097" w14:textId="77777777" w:rsidR="00FE4DEF" w:rsidRDefault="00FE4DEF" w:rsidP="00865807">
            <w:pPr>
              <w:pStyle w:val="NormalWeb"/>
              <w:jc w:val="center"/>
            </w:pPr>
            <w:r>
              <w:t>9.8 (8.0)</w:t>
            </w:r>
          </w:p>
        </w:tc>
        <w:tc>
          <w:tcPr>
            <w:tcW w:w="1005" w:type="dxa"/>
            <w:hideMark/>
          </w:tcPr>
          <w:p w14:paraId="58CC7F90" w14:textId="77777777" w:rsidR="00FE4DEF" w:rsidRDefault="00FE4DEF" w:rsidP="00865807">
            <w:pPr>
              <w:pStyle w:val="NormalWeb"/>
              <w:jc w:val="center"/>
            </w:pPr>
            <w:r>
              <w:t>137</w:t>
            </w:r>
          </w:p>
        </w:tc>
        <w:tc>
          <w:tcPr>
            <w:tcW w:w="1899" w:type="dxa"/>
            <w:hideMark/>
          </w:tcPr>
          <w:p w14:paraId="3846A7EE" w14:textId="77777777" w:rsidR="00FE4DEF" w:rsidRDefault="00FE4DEF" w:rsidP="00865807">
            <w:pPr>
              <w:pStyle w:val="NormalWeb"/>
              <w:jc w:val="center"/>
            </w:pPr>
            <w:r>
              <w:t>23.9 (10.0–33.0)</w:t>
            </w:r>
          </w:p>
        </w:tc>
        <w:tc>
          <w:tcPr>
            <w:tcW w:w="1453" w:type="dxa"/>
            <w:hideMark/>
          </w:tcPr>
          <w:p w14:paraId="09A52F87" w14:textId="77777777" w:rsidR="00FE4DEF" w:rsidRDefault="00FE4DEF" w:rsidP="00865807">
            <w:pPr>
              <w:pStyle w:val="NormalWeb"/>
              <w:jc w:val="center"/>
            </w:pPr>
            <w:r>
              <w:t>23.9 (17.3)</w:t>
            </w:r>
          </w:p>
        </w:tc>
      </w:tr>
      <w:tr w:rsidR="00FE4DEF" w14:paraId="52E4CDAE" w14:textId="77777777" w:rsidTr="00865807">
        <w:trPr>
          <w:cnfStyle w:val="000000010000" w:firstRow="0" w:lastRow="0" w:firstColumn="0" w:lastColumn="0" w:oddVBand="0" w:evenVBand="0" w:oddHBand="0" w:evenHBand="1" w:firstRowFirstColumn="0" w:firstRowLastColumn="0" w:lastRowFirstColumn="0" w:lastRowLastColumn="0"/>
        </w:trPr>
        <w:tc>
          <w:tcPr>
            <w:tcW w:w="0" w:type="auto"/>
            <w:hideMark/>
          </w:tcPr>
          <w:p w14:paraId="72B8C700" w14:textId="77777777" w:rsidR="00FE4DEF" w:rsidRDefault="00FE4DEF">
            <w:pPr>
              <w:pStyle w:val="NormalWeb"/>
            </w:pPr>
            <w:r>
              <w:t>80 and over</w:t>
            </w:r>
          </w:p>
        </w:tc>
        <w:tc>
          <w:tcPr>
            <w:tcW w:w="1452" w:type="dxa"/>
            <w:hideMark/>
          </w:tcPr>
          <w:p w14:paraId="35B740B7" w14:textId="77777777" w:rsidR="00FE4DEF" w:rsidRDefault="00FE4DEF" w:rsidP="00865807">
            <w:pPr>
              <w:pStyle w:val="NormalWeb"/>
              <w:jc w:val="center"/>
            </w:pPr>
            <w:r>
              <w:t>21</w:t>
            </w:r>
          </w:p>
        </w:tc>
        <w:tc>
          <w:tcPr>
            <w:tcW w:w="1452" w:type="dxa"/>
            <w:hideMark/>
          </w:tcPr>
          <w:p w14:paraId="523A6DBE" w14:textId="77777777" w:rsidR="00FE4DEF" w:rsidRDefault="00FE4DEF" w:rsidP="00865807">
            <w:pPr>
              <w:pStyle w:val="NormalWeb"/>
              <w:jc w:val="center"/>
            </w:pPr>
            <w:r>
              <w:t>10.0 (7.0–13.0)</w:t>
            </w:r>
          </w:p>
        </w:tc>
        <w:tc>
          <w:tcPr>
            <w:tcW w:w="1453" w:type="dxa"/>
            <w:hideMark/>
          </w:tcPr>
          <w:p w14:paraId="2690F3E2" w14:textId="77777777" w:rsidR="00FE4DEF" w:rsidRDefault="00FE4DEF" w:rsidP="00865807">
            <w:pPr>
              <w:pStyle w:val="NormalWeb"/>
              <w:jc w:val="center"/>
            </w:pPr>
            <w:r>
              <w:t>11.0 (7.8)</w:t>
            </w:r>
          </w:p>
        </w:tc>
        <w:tc>
          <w:tcPr>
            <w:tcW w:w="1005" w:type="dxa"/>
            <w:hideMark/>
          </w:tcPr>
          <w:p w14:paraId="21E8E11F" w14:textId="77777777" w:rsidR="00FE4DEF" w:rsidRDefault="00FE4DEF" w:rsidP="00865807">
            <w:pPr>
              <w:pStyle w:val="NormalWeb"/>
              <w:jc w:val="center"/>
            </w:pPr>
            <w:r>
              <w:t>5</w:t>
            </w:r>
          </w:p>
        </w:tc>
        <w:tc>
          <w:tcPr>
            <w:tcW w:w="1899" w:type="dxa"/>
            <w:hideMark/>
          </w:tcPr>
          <w:p w14:paraId="7E1128B1" w14:textId="77777777" w:rsidR="00FE4DEF" w:rsidRDefault="00FE4DEF" w:rsidP="00865807">
            <w:pPr>
              <w:pStyle w:val="NormalWeb"/>
              <w:jc w:val="center"/>
            </w:pPr>
            <w:r>
              <w:t>13.0 (11.0–15.0)</w:t>
            </w:r>
          </w:p>
        </w:tc>
        <w:tc>
          <w:tcPr>
            <w:tcW w:w="1453" w:type="dxa"/>
            <w:hideMark/>
          </w:tcPr>
          <w:p w14:paraId="7353049C" w14:textId="77777777" w:rsidR="00FE4DEF" w:rsidRDefault="00FE4DEF" w:rsidP="00865807">
            <w:pPr>
              <w:pStyle w:val="NormalWeb"/>
              <w:jc w:val="center"/>
            </w:pPr>
            <w:r>
              <w:t>12.6 (4.5)</w:t>
            </w:r>
          </w:p>
        </w:tc>
      </w:tr>
      <w:tr w:rsidR="00865807" w:rsidRPr="00865807" w14:paraId="5BF18F85" w14:textId="77777777" w:rsidTr="00865807">
        <w:tc>
          <w:tcPr>
            <w:tcW w:w="0" w:type="auto"/>
            <w:shd w:val="clear" w:color="auto" w:fill="FDE9D9" w:themeFill="accent6" w:themeFillTint="33"/>
            <w:hideMark/>
          </w:tcPr>
          <w:p w14:paraId="2EB3738A" w14:textId="77777777" w:rsidR="00FE4DEF" w:rsidRPr="00865807" w:rsidRDefault="00FE4DEF">
            <w:pPr>
              <w:pStyle w:val="NormalWeb"/>
              <w:rPr>
                <w:b/>
              </w:rPr>
            </w:pPr>
            <w:r w:rsidRPr="00865807">
              <w:rPr>
                <w:b/>
              </w:rPr>
              <w:t>Total</w:t>
            </w:r>
          </w:p>
        </w:tc>
        <w:tc>
          <w:tcPr>
            <w:tcW w:w="1452" w:type="dxa"/>
            <w:shd w:val="clear" w:color="auto" w:fill="FDE9D9" w:themeFill="accent6" w:themeFillTint="33"/>
            <w:hideMark/>
          </w:tcPr>
          <w:p w14:paraId="35643B1E" w14:textId="77777777" w:rsidR="00FE4DEF" w:rsidRPr="00865807" w:rsidRDefault="00FE4DEF" w:rsidP="00865807">
            <w:pPr>
              <w:pStyle w:val="NormalWeb"/>
              <w:jc w:val="center"/>
              <w:rPr>
                <w:b/>
              </w:rPr>
            </w:pPr>
            <w:r w:rsidRPr="00865807">
              <w:rPr>
                <w:b/>
              </w:rPr>
              <w:t>193</w:t>
            </w:r>
          </w:p>
        </w:tc>
        <w:tc>
          <w:tcPr>
            <w:tcW w:w="1452" w:type="dxa"/>
            <w:shd w:val="clear" w:color="auto" w:fill="FDE9D9" w:themeFill="accent6" w:themeFillTint="33"/>
            <w:hideMark/>
          </w:tcPr>
          <w:p w14:paraId="613CBA66" w14:textId="77777777" w:rsidR="00FE4DEF" w:rsidRPr="00865807" w:rsidRDefault="00FE4DEF" w:rsidP="00865807">
            <w:pPr>
              <w:pStyle w:val="NormalWeb"/>
              <w:jc w:val="center"/>
              <w:rPr>
                <w:b/>
              </w:rPr>
            </w:pPr>
            <w:r w:rsidRPr="00865807">
              <w:rPr>
                <w:b/>
              </w:rPr>
              <w:t>5.0 (2.0–10.0)</w:t>
            </w:r>
          </w:p>
        </w:tc>
        <w:tc>
          <w:tcPr>
            <w:tcW w:w="1453" w:type="dxa"/>
            <w:shd w:val="clear" w:color="auto" w:fill="FDE9D9" w:themeFill="accent6" w:themeFillTint="33"/>
            <w:hideMark/>
          </w:tcPr>
          <w:p w14:paraId="71C7C659" w14:textId="77777777" w:rsidR="00FE4DEF" w:rsidRPr="00865807" w:rsidRDefault="00FE4DEF" w:rsidP="00865807">
            <w:pPr>
              <w:pStyle w:val="NormalWeb"/>
              <w:jc w:val="center"/>
              <w:rPr>
                <w:b/>
              </w:rPr>
            </w:pPr>
            <w:r w:rsidRPr="00865807">
              <w:rPr>
                <w:b/>
              </w:rPr>
              <w:t>7.8 (8.3)</w:t>
            </w:r>
          </w:p>
        </w:tc>
        <w:tc>
          <w:tcPr>
            <w:tcW w:w="1005" w:type="dxa"/>
            <w:shd w:val="clear" w:color="auto" w:fill="FDE9D9" w:themeFill="accent6" w:themeFillTint="33"/>
            <w:hideMark/>
          </w:tcPr>
          <w:p w14:paraId="181148BC" w14:textId="77777777" w:rsidR="00FE4DEF" w:rsidRPr="00865807" w:rsidRDefault="00FE4DEF" w:rsidP="00865807">
            <w:pPr>
              <w:pStyle w:val="NormalWeb"/>
              <w:jc w:val="center"/>
              <w:rPr>
                <w:b/>
              </w:rPr>
            </w:pPr>
            <w:r w:rsidRPr="00865807">
              <w:rPr>
                <w:b/>
              </w:rPr>
              <w:t>291</w:t>
            </w:r>
          </w:p>
        </w:tc>
        <w:tc>
          <w:tcPr>
            <w:tcW w:w="1899" w:type="dxa"/>
            <w:shd w:val="clear" w:color="auto" w:fill="FDE9D9" w:themeFill="accent6" w:themeFillTint="33"/>
            <w:hideMark/>
          </w:tcPr>
          <w:p w14:paraId="6A200646" w14:textId="77777777" w:rsidR="00FE4DEF" w:rsidRPr="00865807" w:rsidRDefault="00FE4DEF" w:rsidP="00865807">
            <w:pPr>
              <w:pStyle w:val="NormalWeb"/>
              <w:jc w:val="center"/>
              <w:rPr>
                <w:b/>
              </w:rPr>
            </w:pPr>
            <w:r w:rsidRPr="00865807">
              <w:rPr>
                <w:b/>
              </w:rPr>
              <w:t>14.0 (8.0–25.0)</w:t>
            </w:r>
          </w:p>
        </w:tc>
        <w:tc>
          <w:tcPr>
            <w:tcW w:w="1453" w:type="dxa"/>
            <w:shd w:val="clear" w:color="auto" w:fill="FDE9D9" w:themeFill="accent6" w:themeFillTint="33"/>
            <w:hideMark/>
          </w:tcPr>
          <w:p w14:paraId="699D8B30" w14:textId="77777777" w:rsidR="00FE4DEF" w:rsidRPr="00865807" w:rsidRDefault="00FE4DEF" w:rsidP="00865807">
            <w:pPr>
              <w:pStyle w:val="NormalWeb"/>
              <w:jc w:val="center"/>
              <w:rPr>
                <w:b/>
              </w:rPr>
            </w:pPr>
            <w:r w:rsidRPr="00865807">
              <w:rPr>
                <w:b/>
              </w:rPr>
              <w:t>18.7 (16.2)</w:t>
            </w:r>
          </w:p>
        </w:tc>
      </w:tr>
    </w:tbl>
    <w:p w14:paraId="5D1BCE69" w14:textId="77777777" w:rsidR="00FE4DEF" w:rsidRDefault="00FE4DEF" w:rsidP="00B21656">
      <w:pPr>
        <w:pStyle w:val="CDIfootnotes"/>
      </w:pPr>
      <w:proofErr w:type="gramStart"/>
      <w:r>
        <w:t>a</w:t>
      </w:r>
      <w:proofErr w:type="gramEnd"/>
      <w:r>
        <w:tab/>
        <w:t>Source: FluCAN,</w:t>
      </w:r>
      <w:r w:rsidRPr="00604610">
        <w:rPr>
          <w:vertAlign w:val="superscript"/>
        </w:rPr>
        <w:t>9</w:t>
      </w:r>
      <w:r>
        <w:t xml:space="preserve"> excludes patients admitted to ICU.</w:t>
      </w:r>
    </w:p>
    <w:p w14:paraId="0ECA7DF8" w14:textId="77777777" w:rsidR="00FE4DEF" w:rsidRDefault="00C91EB6" w:rsidP="00B21656">
      <w:pPr>
        <w:pStyle w:val="CDIfootnotes"/>
      </w:pPr>
      <w:proofErr w:type="gramStart"/>
      <w:r>
        <w:t>b</w:t>
      </w:r>
      <w:proofErr w:type="gramEnd"/>
      <w:r w:rsidR="00FE4DEF">
        <w:tab/>
        <w:t>Source: SPRINT-SARI.</w:t>
      </w:r>
      <w:r w:rsidR="00FE4DEF" w:rsidRPr="00604610">
        <w:rPr>
          <w:vertAlign w:val="superscript"/>
        </w:rPr>
        <w:t>10</w:t>
      </w:r>
    </w:p>
    <w:p w14:paraId="094F552F" w14:textId="77777777" w:rsidR="00C44483" w:rsidRDefault="00C44483" w:rsidP="007300A0">
      <w:pPr>
        <w:pStyle w:val="Heading2"/>
        <w:rPr>
          <w:b w:val="0"/>
          <w:bCs w:val="0"/>
        </w:rPr>
      </w:pPr>
      <w:r>
        <w:br w:type="page"/>
      </w:r>
    </w:p>
    <w:p w14:paraId="4383A77E" w14:textId="77777777" w:rsidR="00FE4DEF" w:rsidRPr="00B21656" w:rsidRDefault="00FE4DEF" w:rsidP="00B21656">
      <w:pPr>
        <w:pStyle w:val="Heading2"/>
      </w:pPr>
      <w:r w:rsidRPr="00B21656">
        <w:lastRenderedPageBreak/>
        <w:t xml:space="preserve">Intensive care admissions </w:t>
      </w:r>
    </w:p>
    <w:p w14:paraId="2CBD6830" w14:textId="77777777" w:rsidR="00FE4DEF" w:rsidRDefault="00FE4DEF" w:rsidP="00B21656">
      <w:r>
        <w:t>Of hospitalised cases captured in the FluCAN sentinel surveillance system since March 16, 2020 (n = 241), forty-nine (20%) were admitted to an ICU. This is a similar proportion to ICU admission estimates in Canada (2,214/11,091; 20%</w:t>
      </w:r>
      <w:proofErr w:type="gramStart"/>
      <w:r>
        <w:t>)</w:t>
      </w:r>
      <w:r>
        <w:rPr>
          <w:vertAlign w:val="superscript"/>
        </w:rPr>
        <w:t>8</w:t>
      </w:r>
      <w:proofErr w:type="gramEnd"/>
      <w:r>
        <w:t xml:space="preserve"> and the United Kingdom (3001/18,183; 17%).</w:t>
      </w:r>
      <w:r>
        <w:rPr>
          <w:vertAlign w:val="superscript"/>
        </w:rPr>
        <w:t>11</w:t>
      </w:r>
      <w:r>
        <w:t xml:space="preserve"> </w:t>
      </w:r>
    </w:p>
    <w:p w14:paraId="7952C3FD" w14:textId="77777777" w:rsidR="00FE4DEF" w:rsidRDefault="00FE4DEF" w:rsidP="00B21656">
      <w:r>
        <w:t>Figure 7 shows the pattern in daily admissions to ICU in sentinel sites contributing to the Short Period Incidence Study of Severe Acute Respiratory Infection Study (SPRINT-SARI) over time relative to the national epidemic curve. While scales differ, clear synergy and a time delay between case number and ICU admission patterns can be seen. Prior to June, ICU admissions followed a similar rapid rise to that of the epidemic curve, while the more recent surge in case numbers is accompanied by a more stable and sustained pattern in daily ICU admissions.</w:t>
      </w:r>
    </w:p>
    <w:p w14:paraId="7735B6D8" w14:textId="77777777" w:rsidR="00FE4DEF" w:rsidRDefault="00FE4DEF" w:rsidP="00B21656">
      <w:pPr>
        <w:pStyle w:val="CDIFigures"/>
      </w:pPr>
      <w:r>
        <w:t xml:space="preserve">Figure 7. </w:t>
      </w:r>
      <w:r w:rsidR="00D27893">
        <w:t>Weekly</w:t>
      </w:r>
      <w:r>
        <w:t xml:space="preserve"> COVID-19 notifications and </w:t>
      </w:r>
      <w:r w:rsidR="00D27893">
        <w:t>weekly</w:t>
      </w:r>
      <w:r>
        <w:t xml:space="preserve"> admissions to ICU, Australia, 20 January – 25 August 2020</w:t>
      </w:r>
    </w:p>
    <w:p w14:paraId="62B47913" w14:textId="77777777" w:rsidR="00FE4DEF" w:rsidRDefault="00FE4DEF">
      <w:pPr>
        <w:rPr>
          <w:rFonts w:eastAsia="Times New Roman"/>
        </w:rPr>
      </w:pPr>
      <w:r>
        <w:rPr>
          <w:rFonts w:eastAsia="Times New Roman"/>
          <w:noProof/>
        </w:rPr>
        <w:drawing>
          <wp:inline distT="0" distB="0" distL="0" distR="0" wp14:anchorId="6DA55D67" wp14:editId="3F2EAAEE">
            <wp:extent cx="6629400" cy="4973253"/>
            <wp:effectExtent l="0" t="0" r="0" b="0"/>
            <wp:docPr id="7" name="Picture 7" descr="Two bar charts. The first shows the weekly number of COVID-19 cases reported from 20 January to 25 August, with a line graph showing cumulative COVID-19 cases during that time. The chart also shows that cumulative case numbers rise steeply between 15 and 25 March before levelling off to a much more gradual rise from April through until mid-June, then rising steeply again through July and August. The second chart shows COVID-19 cases admitted to ICU by week reported from 20 January to 25 August, with a line graph showing cumulative COVID-19 cases admitted to ICU during that time. The scales of the two charts differ, but it is evident that the ICU admission rate quite closely follows the week-by-week trend in case not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2020\63-COVID-19 report 24\MS-Word output\figures_and_tables-web-resources\image\f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7679" cy="4979464"/>
                    </a:xfrm>
                    <a:prstGeom prst="rect">
                      <a:avLst/>
                    </a:prstGeom>
                  </pic:spPr>
                </pic:pic>
              </a:graphicData>
            </a:graphic>
          </wp:inline>
        </w:drawing>
      </w:r>
    </w:p>
    <w:p w14:paraId="4095AA70" w14:textId="77777777" w:rsidR="00FE4DEF" w:rsidRDefault="00FE4DEF" w:rsidP="00841182">
      <w:pPr>
        <w:pStyle w:val="CDIfootnotes"/>
      </w:pPr>
      <w:proofErr w:type="gramStart"/>
      <w:r>
        <w:t>a</w:t>
      </w:r>
      <w:proofErr w:type="gramEnd"/>
      <w:r>
        <w:tab/>
        <w:t>Source: FluCAN (n = 380) from 16 March to 28 August 2020.</w:t>
      </w:r>
    </w:p>
    <w:p w14:paraId="48B8710A" w14:textId="77777777" w:rsidR="007509EA" w:rsidRDefault="007509EA">
      <w:pPr>
        <w:rPr>
          <w:b/>
        </w:rPr>
      </w:pPr>
      <w:r>
        <w:br w:type="page"/>
      </w:r>
    </w:p>
    <w:p w14:paraId="66D56B1E" w14:textId="77777777" w:rsidR="00FE4DEF" w:rsidRDefault="00FE4DEF" w:rsidP="007509EA">
      <w:pPr>
        <w:pStyle w:val="CDIFigures"/>
      </w:pPr>
      <w:r>
        <w:lastRenderedPageBreak/>
        <w:t xml:space="preserve">Figure 8. Age/sex distribution for COVID-19 cases admitted to </w:t>
      </w:r>
      <w:proofErr w:type="spellStart"/>
      <w:r>
        <w:t>hospital</w:t>
      </w:r>
      <w:r w:rsidRPr="00841182">
        <w:rPr>
          <w:vertAlign w:val="superscript"/>
        </w:rPr>
        <w:t>a</w:t>
      </w:r>
      <w:proofErr w:type="spellEnd"/>
    </w:p>
    <w:p w14:paraId="247B399D" w14:textId="77777777" w:rsidR="00FE4DEF" w:rsidRDefault="00FE4DEF">
      <w:pPr>
        <w:pStyle w:val="NormalWeb"/>
      </w:pPr>
      <w:r>
        <w:rPr>
          <w:noProof/>
        </w:rPr>
        <w:drawing>
          <wp:inline distT="0" distB="0" distL="0" distR="0" wp14:anchorId="37983561" wp14:editId="7C60556F">
            <wp:extent cx="6132588" cy="3691136"/>
            <wp:effectExtent l="0" t="0" r="1905" b="5080"/>
            <wp:docPr id="8" name="Picture 8" descr="This figure shows hospital admissions by age groups for males and females from 16 March to 28 August 2020. The source of the date is FluCAN and the total number of admissions recorded is 380. For males the age group reporting the highest number of admissions is 40 to 59 years while females report highest admissions in the 60 to 79 age group. For both sexes the age group with the lowest hospital admissions is 5 to 17 years. For males, the age groups of 18–39 years, 60–79 years, and 80 years and older all report the same number of admissions while for females the second highest number of admissions is in the 40 to 59 year age group, followed by those 80 years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ESS\ZoFE\CDI\Desktopping\OpenCDI\2020\63-COVID-19 report 24\MS-Word output\figures_and_tables-web-resources\image\f8-mansucript_and_xsl_mismatch.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32588" cy="3691136"/>
                    </a:xfrm>
                    <a:prstGeom prst="rect">
                      <a:avLst/>
                    </a:prstGeom>
                  </pic:spPr>
                </pic:pic>
              </a:graphicData>
            </a:graphic>
          </wp:inline>
        </w:drawing>
      </w:r>
    </w:p>
    <w:p w14:paraId="265DFC1A" w14:textId="77777777" w:rsidR="00FE4DEF" w:rsidRDefault="00FE4DEF" w:rsidP="00841182">
      <w:pPr>
        <w:pStyle w:val="CDIFigures"/>
      </w:pPr>
      <w:r>
        <w:t xml:space="preserve">Figure 9. Age/sex distribution for COVID-19 patients admitted to </w:t>
      </w:r>
      <w:proofErr w:type="spellStart"/>
      <w:r>
        <w:t>ICU</w:t>
      </w:r>
      <w:r w:rsidRPr="00841182">
        <w:rPr>
          <w:vertAlign w:val="superscript"/>
        </w:rPr>
        <w:t>a</w:t>
      </w:r>
      <w:proofErr w:type="spellEnd"/>
    </w:p>
    <w:p w14:paraId="7E9D3088" w14:textId="77777777" w:rsidR="00FE4DEF" w:rsidRDefault="00FE4DEF">
      <w:pPr>
        <w:pStyle w:val="NormalWeb"/>
      </w:pPr>
      <w:r>
        <w:rPr>
          <w:noProof/>
        </w:rPr>
        <w:drawing>
          <wp:inline distT="0" distB="0" distL="0" distR="0" wp14:anchorId="12EA80E0" wp14:editId="16BA6F86">
            <wp:extent cx="6105156" cy="3645415"/>
            <wp:effectExtent l="0" t="0" r="0" b="0"/>
            <wp:docPr id="9" name="Picture 9" descr="This figure shows ICU admissions by age groups for males and females from 27 February to 31 August 2020. The source of the date is SPRINT-SARI and the total number of admissions to ICU recorded is 434. For both males and females the age group reporting the highest number of admissions is 60 to 79 years, followed by the 40 to 59 years age group. For females the lowest number ICU admissions are reported in those under 5 years.  For males, no cases are reported under 18 years and the lowest number of ICU admission are aged 80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ESS\ZoFE\CDI\Desktopping\OpenCDI\2020\63-COVID-19 report 24\MS-Word output\figures_and_tables-web-resources\image\f9-mansucript_and_xsl_mismatch.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05156" cy="3645415"/>
                    </a:xfrm>
                    <a:prstGeom prst="rect">
                      <a:avLst/>
                    </a:prstGeom>
                  </pic:spPr>
                </pic:pic>
              </a:graphicData>
            </a:graphic>
          </wp:inline>
        </w:drawing>
      </w:r>
    </w:p>
    <w:p w14:paraId="6F5BCF5C" w14:textId="77777777" w:rsidR="00FE4DEF" w:rsidRDefault="00FE4DEF" w:rsidP="00841182">
      <w:pPr>
        <w:pStyle w:val="CDIfootnotes"/>
      </w:pPr>
      <w:proofErr w:type="gramStart"/>
      <w:r>
        <w:t>a</w:t>
      </w:r>
      <w:proofErr w:type="gramEnd"/>
      <w:r>
        <w:tab/>
        <w:t>Source: SPRINT-SARI (n = 434) from 27 February to 31 August 2020.</w:t>
      </w:r>
    </w:p>
    <w:p w14:paraId="302EE34D" w14:textId="77777777" w:rsidR="007509EA" w:rsidRDefault="007509EA">
      <w:r>
        <w:br w:type="page"/>
      </w:r>
    </w:p>
    <w:p w14:paraId="11D2C396" w14:textId="77777777" w:rsidR="00FE4DEF" w:rsidRDefault="00FE4DEF" w:rsidP="00841182">
      <w:r>
        <w:lastRenderedPageBreak/>
        <w:t>Of those admitted to ICU with confirmed COVID-19 (n = 434), forty-nine percent were subject to invasive ventilation for at least one hour on at least one day during their ICU stay. Length of stay in ICU for those discharged alive (n = 293) ranged from zero to 65 days (median 4; IQR 2–14); while for non-survivors length of stay was between zero and 40 days (median 9; IQR 5–19). These estimates are comparatively longer than those reported in the United Kingdom [4 days (IQR 2–8) in survivors and 6 days (3–9) in non-survivors]</w:t>
      </w:r>
      <w:r>
        <w:rPr>
          <w:vertAlign w:val="superscript"/>
        </w:rPr>
        <w:t>12,13</w:t>
      </w:r>
      <w:r>
        <w:t xml:space="preserve"> which could reflect that Australian ICUs continue to operate within capacity. </w:t>
      </w:r>
    </w:p>
    <w:p w14:paraId="5DA61753" w14:textId="77777777" w:rsidR="00FE4DEF" w:rsidRPr="0008158F" w:rsidRDefault="00FE4DEF" w:rsidP="0008158F">
      <w:pPr>
        <w:pStyle w:val="Heading2"/>
      </w:pPr>
      <w:r w:rsidRPr="0008158F">
        <w:t xml:space="preserve">Characteristics of those with severe COVID-19 disease </w:t>
      </w:r>
    </w:p>
    <w:p w14:paraId="47D9B015" w14:textId="77777777" w:rsidR="00FE4DEF" w:rsidRDefault="00FE4DEF" w:rsidP="0008158F">
      <w:r>
        <w:t>Higher disease severity, as indicated by hospitalisation, admission to ICU, and death, has been associated with increased age and comorbidities.</w:t>
      </w:r>
      <w:r>
        <w:rPr>
          <w:vertAlign w:val="superscript"/>
        </w:rPr>
        <w:t>8</w:t>
      </w:r>
      <w:r>
        <w:t xml:space="preserve"> The median ages of cases who have been hospitalised in sentinel sites (58 years; IQR 39–73) and admitted to ICU (62 years; IQR 50–70) are higher than for cases overall (37 years; IQR 15–57). </w:t>
      </w:r>
    </w:p>
    <w:p w14:paraId="0544E2CF" w14:textId="77777777" w:rsidR="00FE4DEF" w:rsidRDefault="00FE4DEF" w:rsidP="0008158F">
      <w:r>
        <w:t>The numbers of males to</w:t>
      </w:r>
      <w:r>
        <w:rPr>
          <w:rStyle w:val="Strong"/>
        </w:rPr>
        <w:t xml:space="preserve"> </w:t>
      </w:r>
      <w:r>
        <w:t xml:space="preserve">females are similar among hospitalised cases (1.1:1). However, substantially more males than females have been admitted to the ICU (ratio: 1.7:1). For both hospitalised and ICU-admitted COVID-19 patients, the male to female ratio increases with advancing age category (Figures 8 and 9). </w:t>
      </w:r>
    </w:p>
    <w:p w14:paraId="3EBDD61F" w14:textId="77777777" w:rsidR="00FE4DEF" w:rsidRDefault="00FE4DEF" w:rsidP="0008158F">
      <w:r>
        <w:t xml:space="preserve">Of all those hospitalised (n = 380), fewer than five (&lt; 1.5%) identified as of Aboriginal and/or Torres Strait Islander origin, none of whom were admitted to ICU. The field capturing these data was 98% complete. </w:t>
      </w:r>
    </w:p>
    <w:p w14:paraId="13CC4293" w14:textId="77777777" w:rsidR="00FE4DEF" w:rsidRPr="0008158F" w:rsidRDefault="00FE4DEF" w:rsidP="0008158F">
      <w:pPr>
        <w:pStyle w:val="Heading1"/>
      </w:pPr>
      <w:r w:rsidRPr="0008158F">
        <w:t xml:space="preserve">Comorbidities </w:t>
      </w:r>
    </w:p>
    <w:p w14:paraId="1E22B6AE" w14:textId="77777777" w:rsidR="00FE4DEF" w:rsidRDefault="00FE4DEF" w:rsidP="0008158F">
      <w:r>
        <w:t>There is a growing global body of evidence that links various comorbidities to a higher risk of severe COVID-19 disease. In May 2020, the Australian Medical Association (AMA) released a list of comorbidities for which such evidence had emerged which included hypertension, diabetes, cardiovascular disease, respiratory disease and cerebrovascular disease.</w:t>
      </w:r>
      <w:r>
        <w:rPr>
          <w:vertAlign w:val="superscript"/>
        </w:rPr>
        <w:t>14</w:t>
      </w:r>
      <w:r>
        <w:t xml:space="preserve"> Obesity (defined as a body mass index &gt; 30) has also been flagged as a significant risk factor for a worse outcome from COVID-19 infection.</w:t>
      </w:r>
      <w:r>
        <w:rPr>
          <w:vertAlign w:val="superscript"/>
        </w:rPr>
        <w:t>15</w:t>
      </w:r>
      <w:r>
        <w:t xml:space="preserve"> In Australian hospitalised patients, the most prevalent comorbidity was cardiac disease (35%) (Table 6); this compares to a similar rate amongst hospitalised cases in the UK (30.9%).</w:t>
      </w:r>
      <w:r>
        <w:rPr>
          <w:vertAlign w:val="superscript"/>
        </w:rPr>
        <w:t>11</w:t>
      </w:r>
      <w:r>
        <w:t xml:space="preserve"> Diabetes was also common across both levels of hospitalisation and amongst those who died while in hospital (45%). A history of smoking (current or past smoker) was identified in 31% of those hospitalised (101/332) and 13% of those admitted to ICU (48/382).</w:t>
      </w:r>
    </w:p>
    <w:p w14:paraId="34C6EA4F" w14:textId="77777777" w:rsidR="00DB4250" w:rsidRDefault="00DB4250">
      <w:pPr>
        <w:rPr>
          <w:b/>
        </w:rPr>
      </w:pPr>
      <w:r>
        <w:br w:type="page"/>
      </w:r>
    </w:p>
    <w:p w14:paraId="4E179BE9" w14:textId="77777777" w:rsidR="00FE4DEF" w:rsidRDefault="00FE4DEF" w:rsidP="0008158F">
      <w:pPr>
        <w:pStyle w:val="CDIFigures"/>
      </w:pPr>
      <w:r>
        <w:lastRenderedPageBreak/>
        <w:t>Table 6. Comorbidities amongst hospitalised COVID-19 cases, cases admitted to ICU and those who have died in hospital from COVID-19 (number of cases, proportion of cases) as at 30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prevalence of various reported comorbidities among all cases, hospitalised cases, cases admitted to ICU and deaths. The most widely-reported comorbidities among all cases are cardiac disease (excluding hypertension), closely followed by diabetes; these two comorbidities are also among the most widely-reported comorbidities among hospitalised cases, those admitted to the ICU, and non-survivors. A correlation is also evident between disease severity and the number of comorbidities associated with cases.&#10;"/>
      </w:tblPr>
      <w:tblGrid>
        <w:gridCol w:w="3282"/>
        <w:gridCol w:w="2254"/>
        <w:gridCol w:w="2254"/>
        <w:gridCol w:w="2254"/>
      </w:tblGrid>
      <w:tr w:rsidR="0021616F" w:rsidRPr="0021616F" w14:paraId="79DBF2C7" w14:textId="77777777" w:rsidTr="0064000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AC510DC" w14:textId="77777777" w:rsidR="00FE4DEF" w:rsidRPr="0021616F" w:rsidRDefault="00FE4DEF">
            <w:pPr>
              <w:pStyle w:val="NormalWeb"/>
              <w:rPr>
                <w:color w:val="FFFFFF" w:themeColor="background1"/>
              </w:rPr>
            </w:pPr>
            <w:r w:rsidRPr="0021616F">
              <w:rPr>
                <w:color w:val="FFFFFF" w:themeColor="background1"/>
              </w:rPr>
              <w:t>Comorbidity</w:t>
            </w:r>
          </w:p>
        </w:tc>
        <w:tc>
          <w:tcPr>
            <w:tcW w:w="2254" w:type="dxa"/>
            <w:hideMark/>
          </w:tcPr>
          <w:p w14:paraId="7524B23E" w14:textId="77777777" w:rsidR="00FE4DEF" w:rsidRPr="0021616F" w:rsidRDefault="00FE4DEF" w:rsidP="0021616F">
            <w:pPr>
              <w:pStyle w:val="NormalWeb"/>
              <w:jc w:val="center"/>
              <w:rPr>
                <w:color w:val="FFFFFF" w:themeColor="background1"/>
              </w:rPr>
            </w:pPr>
            <w:r w:rsidRPr="0021616F">
              <w:rPr>
                <w:color w:val="FFFFFF" w:themeColor="background1"/>
              </w:rPr>
              <w:t>Hospitalised</w:t>
            </w:r>
            <w:r w:rsidRPr="0021616F">
              <w:rPr>
                <w:color w:val="FFFFFF" w:themeColor="background1"/>
              </w:rPr>
              <w:br/>
            </w:r>
            <w:proofErr w:type="spellStart"/>
            <w:r w:rsidRPr="0021616F">
              <w:rPr>
                <w:color w:val="FFFFFF" w:themeColor="background1"/>
              </w:rPr>
              <w:t>cases</w:t>
            </w:r>
            <w:r w:rsidRPr="0021616F">
              <w:rPr>
                <w:color w:val="FFFFFF" w:themeColor="background1"/>
                <w:vertAlign w:val="superscript"/>
              </w:rPr>
              <w:t>a</w:t>
            </w:r>
            <w:proofErr w:type="spellEnd"/>
            <w:r w:rsidRPr="0021616F">
              <w:rPr>
                <w:color w:val="FFFFFF" w:themeColor="background1"/>
              </w:rPr>
              <w:br/>
              <w:t>(n=380)</w:t>
            </w:r>
          </w:p>
        </w:tc>
        <w:tc>
          <w:tcPr>
            <w:tcW w:w="2254" w:type="dxa"/>
            <w:hideMark/>
          </w:tcPr>
          <w:p w14:paraId="1BD6EB23" w14:textId="77777777" w:rsidR="00FE4DEF" w:rsidRPr="0021616F" w:rsidRDefault="00FE4DEF" w:rsidP="0021616F">
            <w:pPr>
              <w:pStyle w:val="NormalWeb"/>
              <w:jc w:val="center"/>
              <w:rPr>
                <w:color w:val="FFFFFF" w:themeColor="background1"/>
              </w:rPr>
            </w:pPr>
            <w:r w:rsidRPr="0021616F">
              <w:rPr>
                <w:color w:val="FFFFFF" w:themeColor="background1"/>
              </w:rPr>
              <w:t>ICU</w:t>
            </w:r>
            <w:r w:rsidRPr="0021616F">
              <w:rPr>
                <w:color w:val="FFFFFF" w:themeColor="background1"/>
              </w:rPr>
              <w:br/>
            </w:r>
            <w:proofErr w:type="spellStart"/>
            <w:r w:rsidRPr="0021616F">
              <w:rPr>
                <w:color w:val="FFFFFF" w:themeColor="background1"/>
              </w:rPr>
              <w:t>cases</w:t>
            </w:r>
            <w:r w:rsidRPr="0021616F">
              <w:rPr>
                <w:color w:val="FFFFFF" w:themeColor="background1"/>
                <w:vertAlign w:val="superscript"/>
              </w:rPr>
              <w:t>b</w:t>
            </w:r>
            <w:proofErr w:type="spellEnd"/>
            <w:r w:rsidRPr="0021616F">
              <w:rPr>
                <w:color w:val="FFFFFF" w:themeColor="background1"/>
              </w:rPr>
              <w:br/>
              <w:t>(n = 434)</w:t>
            </w:r>
          </w:p>
        </w:tc>
        <w:tc>
          <w:tcPr>
            <w:tcW w:w="2254" w:type="dxa"/>
            <w:hideMark/>
          </w:tcPr>
          <w:p w14:paraId="1F0765E0" w14:textId="77777777" w:rsidR="00FE4DEF" w:rsidRPr="0021616F" w:rsidRDefault="00FE4DEF" w:rsidP="0021616F">
            <w:pPr>
              <w:pStyle w:val="NormalWeb"/>
              <w:jc w:val="center"/>
              <w:rPr>
                <w:color w:val="FFFFFF" w:themeColor="background1"/>
              </w:rPr>
            </w:pPr>
            <w:r w:rsidRPr="0021616F">
              <w:rPr>
                <w:color w:val="FFFFFF" w:themeColor="background1"/>
              </w:rPr>
              <w:t xml:space="preserve">Deaths in </w:t>
            </w:r>
            <w:proofErr w:type="spellStart"/>
            <w:r w:rsidRPr="0021616F">
              <w:rPr>
                <w:color w:val="FFFFFF" w:themeColor="background1"/>
              </w:rPr>
              <w:t>hospital</w:t>
            </w:r>
            <w:r w:rsidRPr="0021616F">
              <w:rPr>
                <w:color w:val="FFFFFF" w:themeColor="background1"/>
                <w:vertAlign w:val="superscript"/>
              </w:rPr>
              <w:t>c</w:t>
            </w:r>
            <w:proofErr w:type="spellEnd"/>
            <w:r w:rsidRPr="0021616F">
              <w:rPr>
                <w:color w:val="FFFFFF" w:themeColor="background1"/>
              </w:rPr>
              <w:br/>
              <w:t>(n=49)</w:t>
            </w:r>
          </w:p>
        </w:tc>
      </w:tr>
      <w:tr w:rsidR="00FE4DEF" w14:paraId="15A240DE" w14:textId="77777777" w:rsidTr="0021616F">
        <w:tc>
          <w:tcPr>
            <w:tcW w:w="0" w:type="auto"/>
            <w:hideMark/>
          </w:tcPr>
          <w:p w14:paraId="05FDA32C" w14:textId="77777777" w:rsidR="00FE4DEF" w:rsidRDefault="00FE4DEF">
            <w:pPr>
              <w:pStyle w:val="NormalWeb"/>
            </w:pPr>
            <w:r>
              <w:t>Cardiac disease</w:t>
            </w:r>
          </w:p>
        </w:tc>
        <w:tc>
          <w:tcPr>
            <w:tcW w:w="2254" w:type="dxa"/>
            <w:hideMark/>
          </w:tcPr>
          <w:p w14:paraId="6E699198" w14:textId="77777777" w:rsidR="00FE4DEF" w:rsidRDefault="00FE4DEF" w:rsidP="0021616F">
            <w:pPr>
              <w:pStyle w:val="NormalWeb"/>
              <w:jc w:val="center"/>
            </w:pPr>
            <w:r>
              <w:t>85 (35)</w:t>
            </w:r>
          </w:p>
        </w:tc>
        <w:tc>
          <w:tcPr>
            <w:tcW w:w="2254" w:type="dxa"/>
            <w:hideMark/>
          </w:tcPr>
          <w:p w14:paraId="6303606A" w14:textId="77777777" w:rsidR="00FE4DEF" w:rsidRDefault="00FE4DEF" w:rsidP="0021616F">
            <w:pPr>
              <w:pStyle w:val="NormalWeb"/>
              <w:jc w:val="center"/>
            </w:pPr>
            <w:r>
              <w:t>59 (15)</w:t>
            </w:r>
          </w:p>
        </w:tc>
        <w:tc>
          <w:tcPr>
            <w:tcW w:w="2254" w:type="dxa"/>
            <w:hideMark/>
          </w:tcPr>
          <w:p w14:paraId="1396A770" w14:textId="77777777" w:rsidR="00FE4DEF" w:rsidRDefault="00FE4DEF" w:rsidP="0021616F">
            <w:pPr>
              <w:pStyle w:val="NormalWeb"/>
              <w:jc w:val="center"/>
            </w:pPr>
            <w:r>
              <w:t>16 (33)</w:t>
            </w:r>
          </w:p>
        </w:tc>
      </w:tr>
      <w:tr w:rsidR="00FE4DEF" w14:paraId="42CCB3CC"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0C9F3B93" w14:textId="77777777" w:rsidR="00FE4DEF" w:rsidRDefault="00FE4DEF">
            <w:pPr>
              <w:pStyle w:val="NormalWeb"/>
            </w:pPr>
            <w:r>
              <w:t xml:space="preserve">Chronic respiratory </w:t>
            </w:r>
            <w:proofErr w:type="spellStart"/>
            <w:r>
              <w:t>condition</w:t>
            </w:r>
            <w:r w:rsidRPr="003F4A94">
              <w:rPr>
                <w:vertAlign w:val="superscript"/>
              </w:rPr>
              <w:t>c</w:t>
            </w:r>
            <w:proofErr w:type="spellEnd"/>
          </w:p>
        </w:tc>
        <w:tc>
          <w:tcPr>
            <w:tcW w:w="2254" w:type="dxa"/>
            <w:hideMark/>
          </w:tcPr>
          <w:p w14:paraId="53BD2F59" w14:textId="77777777" w:rsidR="00FE4DEF" w:rsidRDefault="00FE4DEF" w:rsidP="0021616F">
            <w:pPr>
              <w:pStyle w:val="NormalWeb"/>
              <w:jc w:val="center"/>
            </w:pPr>
            <w:r>
              <w:t>71 (30)</w:t>
            </w:r>
          </w:p>
        </w:tc>
        <w:tc>
          <w:tcPr>
            <w:tcW w:w="2254" w:type="dxa"/>
            <w:hideMark/>
          </w:tcPr>
          <w:p w14:paraId="1BCE44F9" w14:textId="77777777" w:rsidR="00FE4DEF" w:rsidRDefault="00FE4DEF" w:rsidP="0021616F">
            <w:pPr>
              <w:pStyle w:val="NormalWeb"/>
              <w:jc w:val="center"/>
            </w:pPr>
            <w:r>
              <w:t>78 (20)</w:t>
            </w:r>
          </w:p>
        </w:tc>
        <w:tc>
          <w:tcPr>
            <w:tcW w:w="2254" w:type="dxa"/>
            <w:hideMark/>
          </w:tcPr>
          <w:p w14:paraId="5338BD8D" w14:textId="77777777" w:rsidR="00FE4DEF" w:rsidRDefault="00FE4DEF" w:rsidP="0021616F">
            <w:pPr>
              <w:pStyle w:val="NormalWeb"/>
              <w:jc w:val="center"/>
            </w:pPr>
            <w:r>
              <w:t>14 (29)</w:t>
            </w:r>
          </w:p>
        </w:tc>
      </w:tr>
      <w:tr w:rsidR="00FE4DEF" w14:paraId="740E7A2B" w14:textId="77777777" w:rsidTr="0021616F">
        <w:tc>
          <w:tcPr>
            <w:tcW w:w="0" w:type="auto"/>
            <w:hideMark/>
          </w:tcPr>
          <w:p w14:paraId="421A7053" w14:textId="77777777" w:rsidR="00FE4DEF" w:rsidRDefault="00FE4DEF">
            <w:pPr>
              <w:pStyle w:val="NormalWeb"/>
            </w:pPr>
            <w:r>
              <w:t>Diabetes</w:t>
            </w:r>
          </w:p>
        </w:tc>
        <w:tc>
          <w:tcPr>
            <w:tcW w:w="2254" w:type="dxa"/>
            <w:hideMark/>
          </w:tcPr>
          <w:p w14:paraId="0B540A7B" w14:textId="77777777" w:rsidR="00FE4DEF" w:rsidRDefault="00FE4DEF" w:rsidP="0021616F">
            <w:pPr>
              <w:pStyle w:val="NormalWeb"/>
              <w:jc w:val="center"/>
            </w:pPr>
            <w:r>
              <w:t>80 (34)</w:t>
            </w:r>
          </w:p>
        </w:tc>
        <w:tc>
          <w:tcPr>
            <w:tcW w:w="2254" w:type="dxa"/>
            <w:hideMark/>
          </w:tcPr>
          <w:p w14:paraId="3222BA7F" w14:textId="77777777" w:rsidR="00FE4DEF" w:rsidRDefault="00FE4DEF" w:rsidP="0021616F">
            <w:pPr>
              <w:pStyle w:val="NormalWeb"/>
              <w:jc w:val="center"/>
            </w:pPr>
            <w:r>
              <w:t>123 (32)</w:t>
            </w:r>
          </w:p>
        </w:tc>
        <w:tc>
          <w:tcPr>
            <w:tcW w:w="2254" w:type="dxa"/>
            <w:hideMark/>
          </w:tcPr>
          <w:p w14:paraId="79595B3F" w14:textId="77777777" w:rsidR="00FE4DEF" w:rsidRDefault="00FE4DEF" w:rsidP="0021616F">
            <w:pPr>
              <w:pStyle w:val="NormalWeb"/>
              <w:jc w:val="center"/>
            </w:pPr>
            <w:r>
              <w:t>22 (45)</w:t>
            </w:r>
          </w:p>
        </w:tc>
      </w:tr>
      <w:tr w:rsidR="00FE4DEF" w14:paraId="073918E5"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6A71AE3E" w14:textId="77777777" w:rsidR="00FE4DEF" w:rsidRDefault="00FE4DEF">
            <w:pPr>
              <w:pStyle w:val="NormalWeb"/>
            </w:pPr>
            <w:r>
              <w:t>Obesity</w:t>
            </w:r>
          </w:p>
        </w:tc>
        <w:tc>
          <w:tcPr>
            <w:tcW w:w="2254" w:type="dxa"/>
            <w:hideMark/>
          </w:tcPr>
          <w:p w14:paraId="26366CA6" w14:textId="77777777" w:rsidR="00FE4DEF" w:rsidRDefault="00FE4DEF" w:rsidP="0021616F">
            <w:pPr>
              <w:pStyle w:val="NormalWeb"/>
              <w:jc w:val="center"/>
            </w:pPr>
            <w:r>
              <w:t>50 (23)</w:t>
            </w:r>
          </w:p>
        </w:tc>
        <w:tc>
          <w:tcPr>
            <w:tcW w:w="2254" w:type="dxa"/>
            <w:hideMark/>
          </w:tcPr>
          <w:p w14:paraId="10F2D3E8" w14:textId="77777777" w:rsidR="00FE4DEF" w:rsidRDefault="00FE4DEF" w:rsidP="0021616F">
            <w:pPr>
              <w:pStyle w:val="NormalWeb"/>
              <w:jc w:val="center"/>
            </w:pPr>
            <w:r>
              <w:t>100 (26)</w:t>
            </w:r>
          </w:p>
        </w:tc>
        <w:tc>
          <w:tcPr>
            <w:tcW w:w="2254" w:type="dxa"/>
            <w:hideMark/>
          </w:tcPr>
          <w:p w14:paraId="4EB81637" w14:textId="77777777" w:rsidR="00FE4DEF" w:rsidRDefault="00FE4DEF" w:rsidP="0021616F">
            <w:pPr>
              <w:pStyle w:val="NormalWeb"/>
              <w:jc w:val="center"/>
            </w:pPr>
            <w:r>
              <w:t>14 (29)</w:t>
            </w:r>
          </w:p>
        </w:tc>
      </w:tr>
      <w:tr w:rsidR="00FE4DEF" w14:paraId="38581795" w14:textId="77777777" w:rsidTr="0021616F">
        <w:tc>
          <w:tcPr>
            <w:tcW w:w="0" w:type="auto"/>
            <w:hideMark/>
          </w:tcPr>
          <w:p w14:paraId="347CC5A9" w14:textId="77777777" w:rsidR="00FE4DEF" w:rsidRDefault="00FE4DEF">
            <w:pPr>
              <w:pStyle w:val="NormalWeb"/>
            </w:pPr>
            <w:r>
              <w:t>Chronic renal disease</w:t>
            </w:r>
          </w:p>
        </w:tc>
        <w:tc>
          <w:tcPr>
            <w:tcW w:w="2254" w:type="dxa"/>
            <w:hideMark/>
          </w:tcPr>
          <w:p w14:paraId="31B7AE46" w14:textId="77777777" w:rsidR="00FE4DEF" w:rsidRDefault="00FE4DEF" w:rsidP="0021616F">
            <w:pPr>
              <w:pStyle w:val="NormalWeb"/>
              <w:jc w:val="center"/>
            </w:pPr>
            <w:r>
              <w:t>17 (7)</w:t>
            </w:r>
          </w:p>
        </w:tc>
        <w:tc>
          <w:tcPr>
            <w:tcW w:w="2254" w:type="dxa"/>
            <w:hideMark/>
          </w:tcPr>
          <w:p w14:paraId="6EA59103" w14:textId="77777777" w:rsidR="00FE4DEF" w:rsidRDefault="00FE4DEF" w:rsidP="0021616F">
            <w:pPr>
              <w:pStyle w:val="NormalWeb"/>
              <w:jc w:val="center"/>
            </w:pPr>
            <w:r>
              <w:t>23 (6)</w:t>
            </w:r>
          </w:p>
        </w:tc>
        <w:tc>
          <w:tcPr>
            <w:tcW w:w="2254" w:type="dxa"/>
            <w:hideMark/>
          </w:tcPr>
          <w:p w14:paraId="60B91B45" w14:textId="77777777" w:rsidR="00FE4DEF" w:rsidRDefault="00FE4DEF" w:rsidP="0021616F">
            <w:pPr>
              <w:pStyle w:val="NormalWeb"/>
              <w:jc w:val="center"/>
            </w:pPr>
            <w:r>
              <w:t>10 (20)</w:t>
            </w:r>
          </w:p>
        </w:tc>
      </w:tr>
      <w:tr w:rsidR="00FE4DEF" w14:paraId="5CACD538"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268D9017" w14:textId="77777777" w:rsidR="00FE4DEF" w:rsidRDefault="00FE4DEF">
            <w:pPr>
              <w:pStyle w:val="NormalWeb"/>
            </w:pPr>
            <w:r>
              <w:t>Chronic neurological condition</w:t>
            </w:r>
          </w:p>
        </w:tc>
        <w:tc>
          <w:tcPr>
            <w:tcW w:w="2254" w:type="dxa"/>
            <w:hideMark/>
          </w:tcPr>
          <w:p w14:paraId="1FDD777B" w14:textId="77777777" w:rsidR="00FE4DEF" w:rsidRDefault="00FE4DEF" w:rsidP="0021616F">
            <w:pPr>
              <w:pStyle w:val="NormalWeb"/>
              <w:jc w:val="center"/>
            </w:pPr>
            <w:r>
              <w:t>65 (28)</w:t>
            </w:r>
          </w:p>
        </w:tc>
        <w:tc>
          <w:tcPr>
            <w:tcW w:w="2254" w:type="dxa"/>
            <w:hideMark/>
          </w:tcPr>
          <w:p w14:paraId="0E3D7B35" w14:textId="77777777" w:rsidR="00FE4DEF" w:rsidRDefault="00FE4DEF" w:rsidP="0021616F">
            <w:pPr>
              <w:pStyle w:val="NormalWeb"/>
              <w:jc w:val="center"/>
            </w:pPr>
            <w:r>
              <w:t>5 (1)</w:t>
            </w:r>
          </w:p>
        </w:tc>
        <w:tc>
          <w:tcPr>
            <w:tcW w:w="2254" w:type="dxa"/>
            <w:hideMark/>
          </w:tcPr>
          <w:p w14:paraId="67AC6BB4" w14:textId="77777777" w:rsidR="00FE4DEF" w:rsidRDefault="00FE4DEF" w:rsidP="0021616F">
            <w:pPr>
              <w:pStyle w:val="NormalWeb"/>
              <w:jc w:val="center"/>
            </w:pPr>
            <w:r>
              <w:t>1 (2)</w:t>
            </w:r>
          </w:p>
        </w:tc>
      </w:tr>
      <w:tr w:rsidR="00FE4DEF" w14:paraId="2DC656EF" w14:textId="77777777" w:rsidTr="0021616F">
        <w:tc>
          <w:tcPr>
            <w:tcW w:w="0" w:type="auto"/>
            <w:hideMark/>
          </w:tcPr>
          <w:p w14:paraId="6D7CB6B5" w14:textId="77777777" w:rsidR="00FE4DEF" w:rsidRDefault="00FE4DEF">
            <w:pPr>
              <w:pStyle w:val="NormalWeb"/>
            </w:pPr>
            <w:r>
              <w:t>Malignancy</w:t>
            </w:r>
          </w:p>
        </w:tc>
        <w:tc>
          <w:tcPr>
            <w:tcW w:w="2254" w:type="dxa"/>
            <w:hideMark/>
          </w:tcPr>
          <w:p w14:paraId="647A3723" w14:textId="77777777" w:rsidR="00FE4DEF" w:rsidRDefault="00FE4DEF" w:rsidP="0021616F">
            <w:pPr>
              <w:pStyle w:val="NormalWeb"/>
              <w:jc w:val="center"/>
            </w:pPr>
            <w:r>
              <w:t>22 (9)</w:t>
            </w:r>
          </w:p>
        </w:tc>
        <w:tc>
          <w:tcPr>
            <w:tcW w:w="2254" w:type="dxa"/>
            <w:hideMark/>
          </w:tcPr>
          <w:p w14:paraId="3FA21D72" w14:textId="77777777" w:rsidR="00FE4DEF" w:rsidRDefault="00FE4DEF" w:rsidP="0021616F">
            <w:pPr>
              <w:pStyle w:val="NormalWeb"/>
              <w:jc w:val="center"/>
            </w:pPr>
            <w:r>
              <w:t>21 (5.3)</w:t>
            </w:r>
          </w:p>
        </w:tc>
        <w:tc>
          <w:tcPr>
            <w:tcW w:w="2254" w:type="dxa"/>
            <w:hideMark/>
          </w:tcPr>
          <w:p w14:paraId="49506F30" w14:textId="77777777" w:rsidR="00FE4DEF" w:rsidRDefault="00FE4DEF" w:rsidP="0021616F">
            <w:pPr>
              <w:pStyle w:val="NormalWeb"/>
              <w:jc w:val="center"/>
            </w:pPr>
            <w:r>
              <w:t>9 (18)</w:t>
            </w:r>
          </w:p>
        </w:tc>
      </w:tr>
      <w:tr w:rsidR="00FE4DEF" w14:paraId="4F59C3FA"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2D01E824" w14:textId="77777777" w:rsidR="00FE4DEF" w:rsidRDefault="00FE4DEF">
            <w:pPr>
              <w:pStyle w:val="NormalWeb"/>
            </w:pPr>
            <w:r>
              <w:t>Chronic liver disease</w:t>
            </w:r>
          </w:p>
        </w:tc>
        <w:tc>
          <w:tcPr>
            <w:tcW w:w="2254" w:type="dxa"/>
            <w:hideMark/>
          </w:tcPr>
          <w:p w14:paraId="3D337456" w14:textId="77777777" w:rsidR="00FE4DEF" w:rsidRDefault="00FE4DEF" w:rsidP="0021616F">
            <w:pPr>
              <w:pStyle w:val="NormalWeb"/>
              <w:jc w:val="center"/>
            </w:pPr>
            <w:r>
              <w:t>10 (4)</w:t>
            </w:r>
          </w:p>
        </w:tc>
        <w:tc>
          <w:tcPr>
            <w:tcW w:w="2254" w:type="dxa"/>
            <w:hideMark/>
          </w:tcPr>
          <w:p w14:paraId="7A02D71D" w14:textId="77777777" w:rsidR="00FE4DEF" w:rsidRDefault="00FE4DEF" w:rsidP="0021616F">
            <w:pPr>
              <w:pStyle w:val="NormalWeb"/>
              <w:jc w:val="center"/>
            </w:pPr>
            <w:r>
              <w:t>14 (4)</w:t>
            </w:r>
          </w:p>
        </w:tc>
        <w:tc>
          <w:tcPr>
            <w:tcW w:w="2254" w:type="dxa"/>
            <w:hideMark/>
          </w:tcPr>
          <w:p w14:paraId="5A036580" w14:textId="77777777" w:rsidR="00FE4DEF" w:rsidRDefault="00FE4DEF" w:rsidP="0021616F">
            <w:pPr>
              <w:pStyle w:val="NormalWeb"/>
              <w:jc w:val="center"/>
            </w:pPr>
            <w:r>
              <w:t>4 (8)</w:t>
            </w:r>
          </w:p>
        </w:tc>
      </w:tr>
      <w:tr w:rsidR="00FE4DEF" w14:paraId="70638B42" w14:textId="77777777" w:rsidTr="0021616F">
        <w:tc>
          <w:tcPr>
            <w:tcW w:w="0" w:type="auto"/>
            <w:hideMark/>
          </w:tcPr>
          <w:p w14:paraId="41C03DEA" w14:textId="77777777" w:rsidR="00FE4DEF" w:rsidRDefault="00FE4DEF">
            <w:pPr>
              <w:pStyle w:val="NormalWeb"/>
            </w:pPr>
            <w:r>
              <w:t>Immunosuppression</w:t>
            </w:r>
          </w:p>
        </w:tc>
        <w:tc>
          <w:tcPr>
            <w:tcW w:w="2254" w:type="dxa"/>
            <w:hideMark/>
          </w:tcPr>
          <w:p w14:paraId="071409A9" w14:textId="77777777" w:rsidR="00FE4DEF" w:rsidRDefault="00FE4DEF" w:rsidP="0021616F">
            <w:pPr>
              <w:pStyle w:val="NormalWeb"/>
              <w:jc w:val="center"/>
            </w:pPr>
            <w:r>
              <w:t>32 (14)</w:t>
            </w:r>
          </w:p>
        </w:tc>
        <w:tc>
          <w:tcPr>
            <w:tcW w:w="2254" w:type="dxa"/>
            <w:hideMark/>
          </w:tcPr>
          <w:p w14:paraId="26C34F18" w14:textId="77777777" w:rsidR="00FE4DEF" w:rsidRDefault="00FE4DEF" w:rsidP="0021616F">
            <w:pPr>
              <w:pStyle w:val="NormalWeb"/>
              <w:jc w:val="center"/>
            </w:pPr>
            <w:r>
              <w:t>28 (7)</w:t>
            </w:r>
          </w:p>
        </w:tc>
        <w:tc>
          <w:tcPr>
            <w:tcW w:w="2254" w:type="dxa"/>
            <w:hideMark/>
          </w:tcPr>
          <w:p w14:paraId="2DBE1620" w14:textId="77777777" w:rsidR="00FE4DEF" w:rsidRDefault="00FE4DEF" w:rsidP="0021616F">
            <w:pPr>
              <w:pStyle w:val="NormalWeb"/>
              <w:jc w:val="center"/>
            </w:pPr>
            <w:r>
              <w:t>10 (21)</w:t>
            </w:r>
          </w:p>
        </w:tc>
      </w:tr>
      <w:tr w:rsidR="00FE4DEF" w14:paraId="11CD9399"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35E267AD" w14:textId="77777777" w:rsidR="00FE4DEF" w:rsidRDefault="00FE4DEF">
            <w:pPr>
              <w:pStyle w:val="NormalWeb"/>
            </w:pPr>
            <w:r>
              <w:t xml:space="preserve">Number of specified </w:t>
            </w:r>
            <w:proofErr w:type="spellStart"/>
            <w:r>
              <w:t>comorbidities</w:t>
            </w:r>
            <w:r w:rsidRPr="003F4A94">
              <w:rPr>
                <w:vertAlign w:val="superscript"/>
              </w:rPr>
              <w:t>d</w:t>
            </w:r>
            <w:proofErr w:type="spellEnd"/>
          </w:p>
        </w:tc>
        <w:tc>
          <w:tcPr>
            <w:tcW w:w="2254" w:type="dxa"/>
            <w:hideMark/>
          </w:tcPr>
          <w:p w14:paraId="49B025B3" w14:textId="77777777" w:rsidR="00FE4DEF" w:rsidRDefault="00FE4DEF" w:rsidP="0021616F">
            <w:pPr>
              <w:jc w:val="center"/>
            </w:pPr>
          </w:p>
        </w:tc>
        <w:tc>
          <w:tcPr>
            <w:tcW w:w="2254" w:type="dxa"/>
            <w:hideMark/>
          </w:tcPr>
          <w:p w14:paraId="05A3134E" w14:textId="77777777" w:rsidR="00FE4DEF" w:rsidRDefault="00FE4DEF" w:rsidP="0021616F">
            <w:pPr>
              <w:jc w:val="center"/>
              <w:rPr>
                <w:rFonts w:eastAsia="Times New Roman"/>
                <w:sz w:val="20"/>
                <w:szCs w:val="20"/>
              </w:rPr>
            </w:pPr>
          </w:p>
        </w:tc>
        <w:tc>
          <w:tcPr>
            <w:tcW w:w="2254" w:type="dxa"/>
            <w:hideMark/>
          </w:tcPr>
          <w:p w14:paraId="5C28518E" w14:textId="77777777" w:rsidR="00FE4DEF" w:rsidRDefault="00FE4DEF" w:rsidP="0021616F">
            <w:pPr>
              <w:jc w:val="center"/>
              <w:rPr>
                <w:rFonts w:eastAsia="Times New Roman"/>
                <w:sz w:val="20"/>
                <w:szCs w:val="20"/>
              </w:rPr>
            </w:pPr>
          </w:p>
        </w:tc>
      </w:tr>
      <w:tr w:rsidR="00FE4DEF" w14:paraId="4BE6E475" w14:textId="77777777" w:rsidTr="0021616F">
        <w:tc>
          <w:tcPr>
            <w:tcW w:w="0" w:type="auto"/>
            <w:hideMark/>
          </w:tcPr>
          <w:p w14:paraId="16A41459" w14:textId="77777777" w:rsidR="00FE4DEF" w:rsidRDefault="00FE4DEF">
            <w:pPr>
              <w:pStyle w:val="NormalWeb"/>
              <w:rPr>
                <w:sz w:val="24"/>
                <w:szCs w:val="24"/>
              </w:rPr>
            </w:pPr>
            <w:r>
              <w:t>One or more</w:t>
            </w:r>
          </w:p>
        </w:tc>
        <w:tc>
          <w:tcPr>
            <w:tcW w:w="2254" w:type="dxa"/>
            <w:hideMark/>
          </w:tcPr>
          <w:p w14:paraId="2FAD63EA" w14:textId="77777777" w:rsidR="00FE4DEF" w:rsidRDefault="00FE4DEF" w:rsidP="0021616F">
            <w:pPr>
              <w:pStyle w:val="NormalWeb"/>
              <w:jc w:val="center"/>
            </w:pPr>
            <w:r>
              <w:t>208 (55)</w:t>
            </w:r>
          </w:p>
        </w:tc>
        <w:tc>
          <w:tcPr>
            <w:tcW w:w="2254" w:type="dxa"/>
            <w:hideMark/>
          </w:tcPr>
          <w:p w14:paraId="29DEC9B9" w14:textId="77777777" w:rsidR="00FE4DEF" w:rsidRDefault="00FE4DEF" w:rsidP="0021616F">
            <w:pPr>
              <w:pStyle w:val="NormalWeb"/>
              <w:jc w:val="center"/>
            </w:pPr>
            <w:r>
              <w:t>252 (64)</w:t>
            </w:r>
          </w:p>
        </w:tc>
        <w:tc>
          <w:tcPr>
            <w:tcW w:w="2254" w:type="dxa"/>
            <w:hideMark/>
          </w:tcPr>
          <w:p w14:paraId="62ED7D25" w14:textId="77777777" w:rsidR="00FE4DEF" w:rsidRDefault="00FE4DEF" w:rsidP="0021616F">
            <w:pPr>
              <w:pStyle w:val="NormalWeb"/>
              <w:jc w:val="center"/>
            </w:pPr>
            <w:r>
              <w:t>41 (84)</w:t>
            </w:r>
          </w:p>
        </w:tc>
      </w:tr>
      <w:tr w:rsidR="00FE4DEF" w14:paraId="42F993DC"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73D74B8B" w14:textId="77777777" w:rsidR="00FE4DEF" w:rsidRDefault="00FE4DEF">
            <w:pPr>
              <w:pStyle w:val="NormalWeb"/>
            </w:pPr>
            <w:r>
              <w:t>Two or more</w:t>
            </w:r>
          </w:p>
        </w:tc>
        <w:tc>
          <w:tcPr>
            <w:tcW w:w="2254" w:type="dxa"/>
            <w:hideMark/>
          </w:tcPr>
          <w:p w14:paraId="257A1B0B" w14:textId="77777777" w:rsidR="00FE4DEF" w:rsidRDefault="00FE4DEF" w:rsidP="0021616F">
            <w:pPr>
              <w:pStyle w:val="NormalWeb"/>
              <w:jc w:val="center"/>
            </w:pPr>
            <w:r>
              <w:t>110 (29)</w:t>
            </w:r>
          </w:p>
        </w:tc>
        <w:tc>
          <w:tcPr>
            <w:tcW w:w="2254" w:type="dxa"/>
            <w:hideMark/>
          </w:tcPr>
          <w:p w14:paraId="586C3F19" w14:textId="77777777" w:rsidR="00FE4DEF" w:rsidRDefault="00FE4DEF" w:rsidP="0021616F">
            <w:pPr>
              <w:pStyle w:val="NormalWeb"/>
              <w:jc w:val="center"/>
            </w:pPr>
            <w:r>
              <w:t>129 (33)</w:t>
            </w:r>
          </w:p>
        </w:tc>
        <w:tc>
          <w:tcPr>
            <w:tcW w:w="2254" w:type="dxa"/>
            <w:hideMark/>
          </w:tcPr>
          <w:p w14:paraId="4BBD9492" w14:textId="77777777" w:rsidR="00FE4DEF" w:rsidRDefault="00FE4DEF" w:rsidP="0021616F">
            <w:pPr>
              <w:pStyle w:val="NormalWeb"/>
              <w:jc w:val="center"/>
            </w:pPr>
            <w:r>
              <w:t>30 (61)</w:t>
            </w:r>
          </w:p>
        </w:tc>
      </w:tr>
      <w:tr w:rsidR="00FE4DEF" w14:paraId="13913F01" w14:textId="77777777" w:rsidTr="0021616F">
        <w:tc>
          <w:tcPr>
            <w:tcW w:w="0" w:type="auto"/>
            <w:hideMark/>
          </w:tcPr>
          <w:p w14:paraId="7BAA2B32" w14:textId="77777777" w:rsidR="00FE4DEF" w:rsidRDefault="00FE4DEF">
            <w:pPr>
              <w:pStyle w:val="NormalWeb"/>
            </w:pPr>
            <w:r>
              <w:t>Three or more</w:t>
            </w:r>
          </w:p>
        </w:tc>
        <w:tc>
          <w:tcPr>
            <w:tcW w:w="2254" w:type="dxa"/>
            <w:hideMark/>
          </w:tcPr>
          <w:p w14:paraId="4A4819EB" w14:textId="77777777" w:rsidR="00FE4DEF" w:rsidRDefault="00FE4DEF" w:rsidP="0021616F">
            <w:pPr>
              <w:pStyle w:val="NormalWeb"/>
              <w:jc w:val="center"/>
            </w:pPr>
            <w:r>
              <w:t>41 (11)</w:t>
            </w:r>
          </w:p>
        </w:tc>
        <w:tc>
          <w:tcPr>
            <w:tcW w:w="2254" w:type="dxa"/>
            <w:hideMark/>
          </w:tcPr>
          <w:p w14:paraId="4B1736D8" w14:textId="77777777" w:rsidR="00FE4DEF" w:rsidRDefault="00FE4DEF" w:rsidP="0021616F">
            <w:pPr>
              <w:pStyle w:val="NormalWeb"/>
              <w:jc w:val="center"/>
            </w:pPr>
            <w:r>
              <w:t>49 (12)</w:t>
            </w:r>
          </w:p>
        </w:tc>
        <w:tc>
          <w:tcPr>
            <w:tcW w:w="2254" w:type="dxa"/>
            <w:hideMark/>
          </w:tcPr>
          <w:p w14:paraId="549FDA94" w14:textId="77777777" w:rsidR="00FE4DEF" w:rsidRDefault="00FE4DEF" w:rsidP="0021616F">
            <w:pPr>
              <w:pStyle w:val="NormalWeb"/>
              <w:jc w:val="center"/>
            </w:pPr>
            <w:r>
              <w:t>18 (36)</w:t>
            </w:r>
          </w:p>
        </w:tc>
      </w:tr>
      <w:tr w:rsidR="00FE4DEF" w14:paraId="0038EEC5" w14:textId="77777777" w:rsidTr="0021616F">
        <w:trPr>
          <w:cnfStyle w:val="000000010000" w:firstRow="0" w:lastRow="0" w:firstColumn="0" w:lastColumn="0" w:oddVBand="0" w:evenVBand="0" w:oddHBand="0" w:evenHBand="1" w:firstRowFirstColumn="0" w:firstRowLastColumn="0" w:lastRowFirstColumn="0" w:lastRowLastColumn="0"/>
        </w:trPr>
        <w:tc>
          <w:tcPr>
            <w:tcW w:w="0" w:type="auto"/>
            <w:hideMark/>
          </w:tcPr>
          <w:p w14:paraId="462AB7AB" w14:textId="77777777" w:rsidR="00FE4DEF" w:rsidRDefault="00FE4DEF">
            <w:pPr>
              <w:pStyle w:val="NormalWeb"/>
            </w:pPr>
            <w:r>
              <w:t>No comorbidities</w:t>
            </w:r>
          </w:p>
        </w:tc>
        <w:tc>
          <w:tcPr>
            <w:tcW w:w="2254" w:type="dxa"/>
            <w:hideMark/>
          </w:tcPr>
          <w:p w14:paraId="6FD4FEB3" w14:textId="77777777" w:rsidR="00FE4DEF" w:rsidRDefault="00FE4DEF" w:rsidP="0021616F">
            <w:pPr>
              <w:pStyle w:val="NormalWeb"/>
              <w:jc w:val="center"/>
            </w:pPr>
            <w:r>
              <w:t>36 (15)</w:t>
            </w:r>
          </w:p>
        </w:tc>
        <w:tc>
          <w:tcPr>
            <w:tcW w:w="2254" w:type="dxa"/>
            <w:hideMark/>
          </w:tcPr>
          <w:p w14:paraId="593C023A" w14:textId="77777777" w:rsidR="00FE4DEF" w:rsidRDefault="00FE4DEF" w:rsidP="0021616F">
            <w:pPr>
              <w:pStyle w:val="NormalWeb"/>
              <w:jc w:val="center"/>
            </w:pPr>
            <w:r>
              <w:t>142 (36)</w:t>
            </w:r>
          </w:p>
        </w:tc>
        <w:tc>
          <w:tcPr>
            <w:tcW w:w="2254" w:type="dxa"/>
            <w:hideMark/>
          </w:tcPr>
          <w:p w14:paraId="6E2E45CE" w14:textId="77777777" w:rsidR="00FE4DEF" w:rsidRDefault="00FE4DEF" w:rsidP="0021616F">
            <w:pPr>
              <w:pStyle w:val="NormalWeb"/>
              <w:jc w:val="center"/>
            </w:pPr>
            <w:r>
              <w:t>8 (16)</w:t>
            </w:r>
          </w:p>
        </w:tc>
      </w:tr>
    </w:tbl>
    <w:p w14:paraId="232CA3A8" w14:textId="77777777" w:rsidR="00FE4DEF" w:rsidRDefault="00FE4DEF" w:rsidP="0008158F">
      <w:pPr>
        <w:pStyle w:val="CDIfootnotes"/>
      </w:pPr>
      <w:proofErr w:type="gramStart"/>
      <w:r>
        <w:t>a</w:t>
      </w:r>
      <w:proofErr w:type="gramEnd"/>
      <w:r>
        <w:tab/>
        <w:t>Source: FluCAN</w:t>
      </w:r>
      <w:r w:rsidR="00D3304E">
        <w:t>;</w:t>
      </w:r>
      <w:r>
        <w:t xml:space="preserve"> excludes those with missing data on comorbidities or where comorbidity is unknown.</w:t>
      </w:r>
    </w:p>
    <w:p w14:paraId="028F1E55" w14:textId="77777777" w:rsidR="00FE4DEF" w:rsidRDefault="00FE4DEF" w:rsidP="0008158F">
      <w:pPr>
        <w:pStyle w:val="CDIfootnotes"/>
      </w:pPr>
      <w:proofErr w:type="gramStart"/>
      <w:r>
        <w:t>b</w:t>
      </w:r>
      <w:proofErr w:type="gramEnd"/>
      <w:r>
        <w:tab/>
        <w:t>Source: SPRINT-SARI</w:t>
      </w:r>
      <w:r w:rsidR="00D3304E">
        <w:t>;</w:t>
      </w:r>
      <w:r>
        <w:t xml:space="preserve"> excludes those with missing data on comorbidities or where comorbidity is unknown</w:t>
      </w:r>
      <w:r w:rsidR="00C857FA">
        <w:t>.</w:t>
      </w:r>
    </w:p>
    <w:p w14:paraId="478B4A84" w14:textId="77777777" w:rsidR="00FE4DEF" w:rsidRDefault="00FE4DEF" w:rsidP="0008158F">
      <w:pPr>
        <w:pStyle w:val="CDIfootnotes"/>
      </w:pPr>
      <w:proofErr w:type="gramStart"/>
      <w:r>
        <w:t>c</w:t>
      </w:r>
      <w:proofErr w:type="gramEnd"/>
      <w:r>
        <w:tab/>
        <w:t>Includes asthma.</w:t>
      </w:r>
    </w:p>
    <w:p w14:paraId="45B6872B" w14:textId="77777777" w:rsidR="00FE4DEF" w:rsidRDefault="00FE4DEF" w:rsidP="0008158F">
      <w:pPr>
        <w:pStyle w:val="CDIfootnotes"/>
      </w:pPr>
      <w:proofErr w:type="gramStart"/>
      <w:r>
        <w:t>d</w:t>
      </w:r>
      <w:proofErr w:type="gramEnd"/>
      <w:r>
        <w:tab/>
        <w:t>Includes chronic respiratory conditions, cardiac disease (excluding hypertension), immunosuppressive condition/therapy, diabetes, obesity, liver disease, renal disease and neurological disorder.</w:t>
      </w:r>
    </w:p>
    <w:p w14:paraId="066C459B" w14:textId="77777777" w:rsidR="00DB4250" w:rsidRDefault="00DB4250" w:rsidP="0008158F"/>
    <w:p w14:paraId="02B6FBA4" w14:textId="77777777" w:rsidR="00FE4DEF" w:rsidRDefault="00FE4DEF" w:rsidP="0008158F">
      <w:r>
        <w:t>Overall, case fatality rates have increased in the past four weeks (from 1.3 to 2.3%). Of all cases, the highest proportion of deaths have occurred in males aged &gt; 80 years (CFR = 28.0) (Table 7). Comparison of case-fatality rates across levels of hospitalisation should be interpreted with caution as the sample sizes and data sources vary. The death rate was highest for those COVID-19 patients aged over 80 years and admitted to ICU; in this group 64% admitted to ICU with COVID-19 passed away. Among all cases hospitalised in sentinel sites since March 16, the CFR stands at 10.9%, which is dramatically lower than the aggregated value of 24% observed in European hospitalised cases (data from 22 countries</w:t>
      </w:r>
      <w:proofErr w:type="gramStart"/>
      <w:r>
        <w:t>)</w:t>
      </w:r>
      <w:r>
        <w:rPr>
          <w:vertAlign w:val="superscript"/>
        </w:rPr>
        <w:t>16</w:t>
      </w:r>
      <w:proofErr w:type="gramEnd"/>
      <w:r>
        <w:t xml:space="preserve"> and Canadian hospitalised cases (33%).</w:t>
      </w:r>
      <w:r>
        <w:rPr>
          <w:vertAlign w:val="superscript"/>
        </w:rPr>
        <w:t>8</w:t>
      </w:r>
      <w:r>
        <w:t xml:space="preserve"> Overall mortality rates among those admitted to ICU with confirmed COVID-19 (CFR= 13%; 51/434) in Australia are also substantially lower than those reported internationally. In UK, the non-survival rate amongst those admitted to ICU was reported at 52% (871/1,689).</w:t>
      </w:r>
      <w:r>
        <w:rPr>
          <w:vertAlign w:val="superscript"/>
        </w:rPr>
        <w:t>12</w:t>
      </w:r>
      <w:r>
        <w:t xml:space="preserve"> </w:t>
      </w:r>
    </w:p>
    <w:p w14:paraId="40E07C20" w14:textId="77777777" w:rsidR="00FA7EB2" w:rsidRDefault="00FA7EB2">
      <w:pPr>
        <w:rPr>
          <w:b/>
        </w:rPr>
        <w:sectPr w:rsidR="00FA7EB2" w:rsidSect="00A30C37">
          <w:footnotePr>
            <w:numFmt w:val="lowerRoman"/>
          </w:footnotePr>
          <w:pgSz w:w="11906" w:h="16838"/>
          <w:pgMar w:top="720" w:right="720" w:bottom="1134" w:left="720" w:header="709" w:footer="284" w:gutter="0"/>
          <w:cols w:space="708"/>
          <w:titlePg/>
          <w:docGrid w:linePitch="360"/>
        </w:sectPr>
      </w:pPr>
    </w:p>
    <w:p w14:paraId="7F069E48" w14:textId="77777777" w:rsidR="00FE4DEF" w:rsidRDefault="00FE4DEF" w:rsidP="00FA7EB2">
      <w:pPr>
        <w:pStyle w:val="CDIFigures"/>
      </w:pPr>
      <w:r>
        <w:lastRenderedPageBreak/>
        <w:t xml:space="preserve">Table 7. Number </w:t>
      </w:r>
      <w:r w:rsidR="00683A1A">
        <w:t xml:space="preserve">of fatalities </w:t>
      </w:r>
      <w:r>
        <w:t>and case fatality rate (CFR) for all cases, hospitalised cases and cases admitted to ICU, by age group and gender, Australia</w:t>
      </w:r>
    </w:p>
    <w:tbl>
      <w:tblPr>
        <w:tblStyle w:val="CDI-StandardTable"/>
        <w:tblW w:w="15120" w:type="dxa"/>
        <w:tblCellMar>
          <w:top w:w="57" w:type="dxa"/>
          <w:left w:w="57" w:type="dxa"/>
          <w:bottom w:w="57" w:type="dxa"/>
          <w:right w:w="57" w:type="dxa"/>
        </w:tblCellMar>
        <w:tblLook w:val="04A0" w:firstRow="1" w:lastRow="0" w:firstColumn="1" w:lastColumn="0" w:noHBand="0" w:noVBand="1"/>
        <w:tblDescription w:val="Table 7 lists the cumulative number of fatalities and CFR, by gender and the age groups of under 50 years, 50–64 years, 65–79 years and 80 years and over, for all cases, hospitalised cases, and cases admitted to ICU. It can be seen that CFR increases with increasing age and is higher for males than for females in all circumstances.&#10;"/>
      </w:tblPr>
      <w:tblGrid>
        <w:gridCol w:w="946"/>
        <w:gridCol w:w="1574"/>
        <w:gridCol w:w="1575"/>
        <w:gridCol w:w="1575"/>
        <w:gridCol w:w="1575"/>
        <w:gridCol w:w="1575"/>
        <w:gridCol w:w="1575"/>
        <w:gridCol w:w="1575"/>
        <w:gridCol w:w="1575"/>
        <w:gridCol w:w="1575"/>
      </w:tblGrid>
      <w:tr w:rsidR="00FE4DEF" w14:paraId="46AF529C" w14:textId="77777777" w:rsidTr="0044776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BF32C03" w14:textId="77777777" w:rsidR="00FE4DEF" w:rsidRPr="006A60B4" w:rsidRDefault="00FE4DEF">
            <w:pPr>
              <w:rPr>
                <w:color w:val="FFFFFF" w:themeColor="background1"/>
              </w:rPr>
            </w:pPr>
          </w:p>
        </w:tc>
        <w:tc>
          <w:tcPr>
            <w:tcW w:w="4724" w:type="dxa"/>
            <w:gridSpan w:val="3"/>
            <w:tcBorders>
              <w:left w:val="single" w:sz="2" w:space="0" w:color="FFFFFF" w:themeColor="background1"/>
              <w:bottom w:val="single" w:sz="2" w:space="0" w:color="FFFFFF" w:themeColor="background1"/>
              <w:right w:val="single" w:sz="2" w:space="0" w:color="FFFFFF" w:themeColor="background1"/>
            </w:tcBorders>
            <w:hideMark/>
          </w:tcPr>
          <w:p w14:paraId="7AEC52AB" w14:textId="77777777" w:rsidR="00FE4DEF" w:rsidRPr="006A60B4" w:rsidRDefault="00FE4DEF" w:rsidP="006A60B4">
            <w:pPr>
              <w:pStyle w:val="NormalWeb"/>
              <w:jc w:val="center"/>
              <w:rPr>
                <w:color w:val="FFFFFF" w:themeColor="background1"/>
                <w:sz w:val="24"/>
                <w:szCs w:val="24"/>
              </w:rPr>
            </w:pPr>
            <w:r w:rsidRPr="006A60B4">
              <w:rPr>
                <w:color w:val="FFFFFF" w:themeColor="background1"/>
              </w:rPr>
              <w:t xml:space="preserve">All </w:t>
            </w:r>
            <w:proofErr w:type="spellStart"/>
            <w:r w:rsidRPr="006A60B4">
              <w:rPr>
                <w:color w:val="FFFFFF" w:themeColor="background1"/>
              </w:rPr>
              <w:t>cases</w:t>
            </w:r>
            <w:r w:rsidRPr="00ED55BA">
              <w:rPr>
                <w:color w:val="FFFFFF" w:themeColor="background1"/>
                <w:vertAlign w:val="superscript"/>
              </w:rPr>
              <w:t>a</w:t>
            </w:r>
            <w:proofErr w:type="spellEnd"/>
            <w:r w:rsidRPr="006A60B4">
              <w:rPr>
                <w:color w:val="FFFFFF" w:themeColor="background1"/>
              </w:rPr>
              <w:br/>
              <w:t>n (CFR)</w:t>
            </w:r>
            <w:r w:rsidRPr="006A60B4">
              <w:rPr>
                <w:color w:val="FFFFFF" w:themeColor="background1"/>
                <w:vertAlign w:val="superscript"/>
              </w:rPr>
              <w:t>d</w:t>
            </w:r>
          </w:p>
        </w:tc>
        <w:tc>
          <w:tcPr>
            <w:tcW w:w="4725" w:type="dxa"/>
            <w:gridSpan w:val="3"/>
            <w:tcBorders>
              <w:left w:val="single" w:sz="2" w:space="0" w:color="FFFFFF" w:themeColor="background1"/>
              <w:bottom w:val="single" w:sz="2" w:space="0" w:color="FFFFFF" w:themeColor="background1"/>
              <w:right w:val="single" w:sz="2" w:space="0" w:color="FFFFFF" w:themeColor="background1"/>
            </w:tcBorders>
            <w:hideMark/>
          </w:tcPr>
          <w:p w14:paraId="572C5352" w14:textId="77777777" w:rsidR="00FE4DEF" w:rsidRPr="006A60B4" w:rsidRDefault="00FE4DEF" w:rsidP="006A60B4">
            <w:pPr>
              <w:pStyle w:val="NormalWeb"/>
              <w:jc w:val="center"/>
              <w:rPr>
                <w:color w:val="FFFFFF" w:themeColor="background1"/>
              </w:rPr>
            </w:pPr>
            <w:proofErr w:type="spellStart"/>
            <w:r w:rsidRPr="006A60B4">
              <w:rPr>
                <w:color w:val="FFFFFF" w:themeColor="background1"/>
              </w:rPr>
              <w:t>Hospitalisation</w:t>
            </w:r>
            <w:r w:rsidRPr="006A60B4">
              <w:rPr>
                <w:color w:val="FFFFFF" w:themeColor="background1"/>
                <w:vertAlign w:val="superscript"/>
              </w:rPr>
              <w:t>b</w:t>
            </w:r>
            <w:proofErr w:type="spellEnd"/>
            <w:r w:rsidRPr="006A60B4">
              <w:rPr>
                <w:color w:val="FFFFFF" w:themeColor="background1"/>
              </w:rPr>
              <w:br/>
              <w:t>n (CFR)</w:t>
            </w:r>
          </w:p>
        </w:tc>
        <w:tc>
          <w:tcPr>
            <w:tcW w:w="4725" w:type="dxa"/>
            <w:gridSpan w:val="3"/>
            <w:tcBorders>
              <w:left w:val="single" w:sz="2" w:space="0" w:color="FFFFFF" w:themeColor="background1"/>
              <w:bottom w:val="single" w:sz="2" w:space="0" w:color="FFFFFF" w:themeColor="background1"/>
            </w:tcBorders>
            <w:hideMark/>
          </w:tcPr>
          <w:p w14:paraId="5A854B87" w14:textId="77777777" w:rsidR="00FE4DEF" w:rsidRPr="006A60B4" w:rsidRDefault="00FE4DEF" w:rsidP="006A60B4">
            <w:pPr>
              <w:pStyle w:val="NormalWeb"/>
              <w:jc w:val="center"/>
              <w:rPr>
                <w:color w:val="FFFFFF" w:themeColor="background1"/>
              </w:rPr>
            </w:pPr>
            <w:proofErr w:type="spellStart"/>
            <w:r w:rsidRPr="006A60B4">
              <w:rPr>
                <w:color w:val="FFFFFF" w:themeColor="background1"/>
              </w:rPr>
              <w:t>ICU</w:t>
            </w:r>
            <w:r w:rsidRPr="006A60B4">
              <w:rPr>
                <w:color w:val="FFFFFF" w:themeColor="background1"/>
                <w:vertAlign w:val="superscript"/>
              </w:rPr>
              <w:t>c</w:t>
            </w:r>
            <w:proofErr w:type="spellEnd"/>
            <w:r w:rsidRPr="006A60B4">
              <w:rPr>
                <w:color w:val="FFFFFF" w:themeColor="background1"/>
              </w:rPr>
              <w:br/>
              <w:t>n (CFR)</w:t>
            </w:r>
          </w:p>
        </w:tc>
      </w:tr>
      <w:tr w:rsidR="00FA7EB2" w14:paraId="32910970" w14:textId="77777777" w:rsidTr="0044776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F00F8F9" w14:textId="77777777" w:rsidR="00FE4DEF" w:rsidRPr="006A60B4" w:rsidRDefault="00FE4DEF">
            <w:pPr>
              <w:rPr>
                <w:color w:val="FFFFFF" w:themeColor="background1"/>
                <w:sz w:val="24"/>
                <w:szCs w:val="24"/>
              </w:rPr>
            </w:pPr>
          </w:p>
        </w:tc>
        <w:tc>
          <w:tcPr>
            <w:tcW w:w="1574" w:type="dxa"/>
            <w:tcBorders>
              <w:top w:val="single" w:sz="2" w:space="0" w:color="FFFFFF" w:themeColor="background1"/>
              <w:left w:val="single" w:sz="2" w:space="0" w:color="FFFFFF" w:themeColor="background1"/>
              <w:right w:val="single" w:sz="2" w:space="0" w:color="FFFFFF" w:themeColor="background1"/>
            </w:tcBorders>
            <w:hideMark/>
          </w:tcPr>
          <w:p w14:paraId="735C3B2D" w14:textId="77777777" w:rsidR="00FE4DEF" w:rsidRPr="006A60B4" w:rsidRDefault="00FE4DEF" w:rsidP="006A60B4">
            <w:pPr>
              <w:pStyle w:val="NormalWeb"/>
              <w:jc w:val="center"/>
              <w:rPr>
                <w:color w:val="FFFFFF" w:themeColor="background1"/>
              </w:rPr>
            </w:pPr>
            <w:r w:rsidRPr="006A60B4">
              <w:rPr>
                <w:color w:val="FFFFFF" w:themeColor="background1"/>
              </w:rPr>
              <w:t>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34571B91" w14:textId="77777777" w:rsidR="00FE4DEF" w:rsidRPr="006A60B4" w:rsidRDefault="00FE4DEF" w:rsidP="006A60B4">
            <w:pPr>
              <w:pStyle w:val="NormalWeb"/>
              <w:jc w:val="center"/>
              <w:rPr>
                <w:color w:val="FFFFFF" w:themeColor="background1"/>
              </w:rPr>
            </w:pPr>
            <w:r w:rsidRPr="006A60B4">
              <w:rPr>
                <w:color w:val="FFFFFF" w:themeColor="background1"/>
              </w:rPr>
              <w:t>Female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0CC96B03" w14:textId="77777777" w:rsidR="00FE4DEF" w:rsidRPr="006A60B4" w:rsidRDefault="00FE4DEF" w:rsidP="006A60B4">
            <w:pPr>
              <w:pStyle w:val="NormalWeb"/>
              <w:jc w:val="center"/>
              <w:rPr>
                <w:color w:val="FFFFFF" w:themeColor="background1"/>
              </w:rPr>
            </w:pPr>
            <w:r w:rsidRPr="006A60B4">
              <w:rPr>
                <w:color w:val="FFFFFF" w:themeColor="background1"/>
              </w:rPr>
              <w:t>Persons</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261B03B2" w14:textId="77777777" w:rsidR="00FE4DEF" w:rsidRPr="006A60B4" w:rsidRDefault="00FE4DEF" w:rsidP="006A60B4">
            <w:pPr>
              <w:pStyle w:val="NormalWeb"/>
              <w:jc w:val="center"/>
              <w:rPr>
                <w:color w:val="FFFFFF" w:themeColor="background1"/>
              </w:rPr>
            </w:pPr>
            <w:r w:rsidRPr="006A60B4">
              <w:rPr>
                <w:color w:val="FFFFFF" w:themeColor="background1"/>
              </w:rPr>
              <w:t>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75698094" w14:textId="77777777" w:rsidR="00FE4DEF" w:rsidRPr="006A60B4" w:rsidRDefault="00FE4DEF" w:rsidP="006A60B4">
            <w:pPr>
              <w:pStyle w:val="NormalWeb"/>
              <w:jc w:val="center"/>
              <w:rPr>
                <w:color w:val="FFFFFF" w:themeColor="background1"/>
              </w:rPr>
            </w:pPr>
            <w:r w:rsidRPr="006A60B4">
              <w:rPr>
                <w:color w:val="FFFFFF" w:themeColor="background1"/>
              </w:rPr>
              <w:t>Female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6B76A174" w14:textId="77777777" w:rsidR="00FE4DEF" w:rsidRPr="006A60B4" w:rsidRDefault="00FE4DEF" w:rsidP="006A60B4">
            <w:pPr>
              <w:pStyle w:val="NormalWeb"/>
              <w:jc w:val="center"/>
              <w:rPr>
                <w:color w:val="FFFFFF" w:themeColor="background1"/>
              </w:rPr>
            </w:pPr>
            <w:r w:rsidRPr="006A60B4">
              <w:rPr>
                <w:color w:val="FFFFFF" w:themeColor="background1"/>
              </w:rPr>
              <w:t>Persons</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411CCA5D" w14:textId="77777777" w:rsidR="00FE4DEF" w:rsidRPr="006A60B4" w:rsidRDefault="00FE4DEF" w:rsidP="006A60B4">
            <w:pPr>
              <w:pStyle w:val="NormalWeb"/>
              <w:jc w:val="center"/>
              <w:rPr>
                <w:color w:val="FFFFFF" w:themeColor="background1"/>
              </w:rPr>
            </w:pPr>
            <w:r w:rsidRPr="006A60B4">
              <w:rPr>
                <w:color w:val="FFFFFF" w:themeColor="background1"/>
              </w:rPr>
              <w:t>Male</w:t>
            </w:r>
          </w:p>
        </w:tc>
        <w:tc>
          <w:tcPr>
            <w:tcW w:w="1575" w:type="dxa"/>
            <w:tcBorders>
              <w:top w:val="single" w:sz="2" w:space="0" w:color="FFFFFF" w:themeColor="background1"/>
              <w:left w:val="single" w:sz="2" w:space="0" w:color="FFFFFF" w:themeColor="background1"/>
              <w:right w:val="single" w:sz="2" w:space="0" w:color="FFFFFF" w:themeColor="background1"/>
            </w:tcBorders>
            <w:hideMark/>
          </w:tcPr>
          <w:p w14:paraId="088C28EE" w14:textId="77777777" w:rsidR="00FE4DEF" w:rsidRPr="006A60B4" w:rsidRDefault="00FE4DEF" w:rsidP="006A60B4">
            <w:pPr>
              <w:pStyle w:val="NormalWeb"/>
              <w:jc w:val="center"/>
              <w:rPr>
                <w:color w:val="FFFFFF" w:themeColor="background1"/>
              </w:rPr>
            </w:pPr>
            <w:r w:rsidRPr="006A60B4">
              <w:rPr>
                <w:color w:val="FFFFFF" w:themeColor="background1"/>
              </w:rPr>
              <w:t>Female</w:t>
            </w:r>
          </w:p>
        </w:tc>
        <w:tc>
          <w:tcPr>
            <w:tcW w:w="1575" w:type="dxa"/>
            <w:tcBorders>
              <w:top w:val="single" w:sz="2" w:space="0" w:color="FFFFFF" w:themeColor="background1"/>
              <w:left w:val="single" w:sz="2" w:space="0" w:color="FFFFFF" w:themeColor="background1"/>
            </w:tcBorders>
            <w:hideMark/>
          </w:tcPr>
          <w:p w14:paraId="040AEF75" w14:textId="77777777" w:rsidR="00FE4DEF" w:rsidRPr="006A60B4" w:rsidRDefault="00FE4DEF" w:rsidP="006A60B4">
            <w:pPr>
              <w:pStyle w:val="NormalWeb"/>
              <w:jc w:val="center"/>
              <w:rPr>
                <w:color w:val="FFFFFF" w:themeColor="background1"/>
              </w:rPr>
            </w:pPr>
            <w:r w:rsidRPr="006A60B4">
              <w:rPr>
                <w:color w:val="FFFFFF" w:themeColor="background1"/>
              </w:rPr>
              <w:t>Persons</w:t>
            </w:r>
          </w:p>
        </w:tc>
      </w:tr>
      <w:tr w:rsidR="006A60B4" w14:paraId="72774662" w14:textId="77777777" w:rsidTr="00FA7EB2">
        <w:tc>
          <w:tcPr>
            <w:tcW w:w="0" w:type="auto"/>
            <w:hideMark/>
          </w:tcPr>
          <w:p w14:paraId="0123CE6E" w14:textId="77777777" w:rsidR="00FE4DEF" w:rsidRDefault="00FE4DEF">
            <w:pPr>
              <w:pStyle w:val="NormalWeb"/>
            </w:pPr>
            <w:r>
              <w:t>Under 50</w:t>
            </w:r>
          </w:p>
        </w:tc>
        <w:tc>
          <w:tcPr>
            <w:tcW w:w="1574" w:type="dxa"/>
            <w:hideMark/>
          </w:tcPr>
          <w:p w14:paraId="55B3030A" w14:textId="77777777" w:rsidR="00FE4DEF" w:rsidRDefault="00FE4DEF" w:rsidP="006A60B4">
            <w:pPr>
              <w:pStyle w:val="NormalWeb"/>
              <w:jc w:val="center"/>
            </w:pPr>
            <w:r>
              <w:t>4 (0.05)</w:t>
            </w:r>
          </w:p>
        </w:tc>
        <w:tc>
          <w:tcPr>
            <w:tcW w:w="1575" w:type="dxa"/>
            <w:hideMark/>
          </w:tcPr>
          <w:p w14:paraId="4F886F80" w14:textId="77777777" w:rsidR="00FE4DEF" w:rsidRDefault="00FE4DEF" w:rsidP="006A60B4">
            <w:pPr>
              <w:pStyle w:val="NormalWeb"/>
              <w:jc w:val="center"/>
            </w:pPr>
            <w:r>
              <w:t>0 (0)</w:t>
            </w:r>
          </w:p>
        </w:tc>
        <w:tc>
          <w:tcPr>
            <w:tcW w:w="1575" w:type="dxa"/>
            <w:hideMark/>
          </w:tcPr>
          <w:p w14:paraId="402A50C6" w14:textId="77777777" w:rsidR="00FE4DEF" w:rsidRDefault="00FE4DEF" w:rsidP="006A60B4">
            <w:pPr>
              <w:pStyle w:val="NormalWeb"/>
              <w:jc w:val="center"/>
            </w:pPr>
            <w:r>
              <w:t>4 (0.02)</w:t>
            </w:r>
          </w:p>
        </w:tc>
        <w:tc>
          <w:tcPr>
            <w:tcW w:w="1575" w:type="dxa"/>
            <w:hideMark/>
          </w:tcPr>
          <w:p w14:paraId="32699C83" w14:textId="77777777" w:rsidR="00FE4DEF" w:rsidRDefault="00FE4DEF" w:rsidP="006A60B4">
            <w:pPr>
              <w:pStyle w:val="NormalWeb"/>
              <w:jc w:val="center"/>
            </w:pPr>
            <w:r>
              <w:t>0 (0.0)</w:t>
            </w:r>
          </w:p>
        </w:tc>
        <w:tc>
          <w:tcPr>
            <w:tcW w:w="1575" w:type="dxa"/>
            <w:hideMark/>
          </w:tcPr>
          <w:p w14:paraId="18A62C9A" w14:textId="77777777" w:rsidR="00FE4DEF" w:rsidRDefault="00FE4DEF" w:rsidP="006A60B4">
            <w:pPr>
              <w:pStyle w:val="NormalWeb"/>
              <w:jc w:val="center"/>
            </w:pPr>
            <w:r>
              <w:t>0 (0.0)</w:t>
            </w:r>
          </w:p>
        </w:tc>
        <w:tc>
          <w:tcPr>
            <w:tcW w:w="1575" w:type="dxa"/>
            <w:hideMark/>
          </w:tcPr>
          <w:p w14:paraId="3A09CFB6" w14:textId="77777777" w:rsidR="00FE4DEF" w:rsidRDefault="00FE4DEF" w:rsidP="006A60B4">
            <w:pPr>
              <w:pStyle w:val="NormalWeb"/>
              <w:jc w:val="center"/>
            </w:pPr>
            <w:r>
              <w:t>0 (0.0)</w:t>
            </w:r>
          </w:p>
        </w:tc>
        <w:tc>
          <w:tcPr>
            <w:tcW w:w="1575" w:type="dxa"/>
            <w:hideMark/>
          </w:tcPr>
          <w:p w14:paraId="257242B3" w14:textId="77777777" w:rsidR="00FE4DEF" w:rsidRDefault="00FE4DEF" w:rsidP="006A60B4">
            <w:pPr>
              <w:pStyle w:val="NormalWeb"/>
              <w:jc w:val="center"/>
            </w:pPr>
            <w:r>
              <w:t>1 (1.9)</w:t>
            </w:r>
          </w:p>
        </w:tc>
        <w:tc>
          <w:tcPr>
            <w:tcW w:w="1575" w:type="dxa"/>
            <w:hideMark/>
          </w:tcPr>
          <w:p w14:paraId="2B758EBE" w14:textId="77777777" w:rsidR="00FE4DEF" w:rsidRDefault="00FE4DEF" w:rsidP="006A60B4">
            <w:pPr>
              <w:pStyle w:val="NormalWeb"/>
              <w:jc w:val="center"/>
            </w:pPr>
            <w:r>
              <w:t>0 (0.0)</w:t>
            </w:r>
          </w:p>
        </w:tc>
        <w:tc>
          <w:tcPr>
            <w:tcW w:w="1575" w:type="dxa"/>
            <w:hideMark/>
          </w:tcPr>
          <w:p w14:paraId="57F1CDF6" w14:textId="77777777" w:rsidR="00FE4DEF" w:rsidRDefault="00FE4DEF" w:rsidP="006A60B4">
            <w:pPr>
              <w:pStyle w:val="NormalWeb"/>
              <w:jc w:val="center"/>
            </w:pPr>
            <w:r>
              <w:t>1 (1.2)</w:t>
            </w:r>
          </w:p>
        </w:tc>
      </w:tr>
      <w:tr w:rsidR="00FA7EB2" w14:paraId="294D72C4" w14:textId="77777777" w:rsidTr="00FA7EB2">
        <w:trPr>
          <w:cnfStyle w:val="000000010000" w:firstRow="0" w:lastRow="0" w:firstColumn="0" w:lastColumn="0" w:oddVBand="0" w:evenVBand="0" w:oddHBand="0" w:evenHBand="1" w:firstRowFirstColumn="0" w:firstRowLastColumn="0" w:lastRowFirstColumn="0" w:lastRowLastColumn="0"/>
        </w:trPr>
        <w:tc>
          <w:tcPr>
            <w:tcW w:w="0" w:type="auto"/>
            <w:hideMark/>
          </w:tcPr>
          <w:p w14:paraId="64D40CA5" w14:textId="77777777" w:rsidR="00FE4DEF" w:rsidRDefault="00FE4DEF">
            <w:pPr>
              <w:pStyle w:val="NormalWeb"/>
            </w:pPr>
            <w:r>
              <w:t>50–64</w:t>
            </w:r>
          </w:p>
        </w:tc>
        <w:tc>
          <w:tcPr>
            <w:tcW w:w="1574" w:type="dxa"/>
            <w:hideMark/>
          </w:tcPr>
          <w:p w14:paraId="35F5F746" w14:textId="77777777" w:rsidR="00FE4DEF" w:rsidRDefault="00FE4DEF" w:rsidP="006A60B4">
            <w:pPr>
              <w:pStyle w:val="NormalWeb"/>
              <w:jc w:val="center"/>
            </w:pPr>
            <w:r>
              <w:t>14 (0.7)</w:t>
            </w:r>
          </w:p>
        </w:tc>
        <w:tc>
          <w:tcPr>
            <w:tcW w:w="1575" w:type="dxa"/>
            <w:hideMark/>
          </w:tcPr>
          <w:p w14:paraId="381C1065" w14:textId="77777777" w:rsidR="00FE4DEF" w:rsidRDefault="00FE4DEF" w:rsidP="006A60B4">
            <w:pPr>
              <w:pStyle w:val="NormalWeb"/>
              <w:jc w:val="center"/>
            </w:pPr>
            <w:r>
              <w:t>6 (0.3)</w:t>
            </w:r>
          </w:p>
        </w:tc>
        <w:tc>
          <w:tcPr>
            <w:tcW w:w="1575" w:type="dxa"/>
            <w:hideMark/>
          </w:tcPr>
          <w:p w14:paraId="27ADD5F9" w14:textId="77777777" w:rsidR="00FE4DEF" w:rsidRDefault="00FE4DEF" w:rsidP="006A60B4">
            <w:pPr>
              <w:pStyle w:val="NormalWeb"/>
              <w:jc w:val="center"/>
            </w:pPr>
            <w:r>
              <w:t>20 (0.5)</w:t>
            </w:r>
          </w:p>
        </w:tc>
        <w:tc>
          <w:tcPr>
            <w:tcW w:w="1575" w:type="dxa"/>
            <w:hideMark/>
          </w:tcPr>
          <w:p w14:paraId="52F67EC8" w14:textId="77777777" w:rsidR="00FE4DEF" w:rsidRDefault="00FE4DEF" w:rsidP="006A60B4">
            <w:pPr>
              <w:pStyle w:val="NormalWeb"/>
              <w:jc w:val="center"/>
            </w:pPr>
            <w:r>
              <w:t>1 (3.5)</w:t>
            </w:r>
          </w:p>
        </w:tc>
        <w:tc>
          <w:tcPr>
            <w:tcW w:w="1575" w:type="dxa"/>
            <w:hideMark/>
          </w:tcPr>
          <w:p w14:paraId="556AA9E1" w14:textId="77777777" w:rsidR="00FE4DEF" w:rsidRDefault="00FE4DEF" w:rsidP="006A60B4">
            <w:pPr>
              <w:pStyle w:val="NormalWeb"/>
              <w:jc w:val="center"/>
            </w:pPr>
            <w:r>
              <w:t>0 (0.0)</w:t>
            </w:r>
          </w:p>
        </w:tc>
        <w:tc>
          <w:tcPr>
            <w:tcW w:w="1575" w:type="dxa"/>
            <w:hideMark/>
          </w:tcPr>
          <w:p w14:paraId="7803F3CD" w14:textId="77777777" w:rsidR="00FE4DEF" w:rsidRDefault="00FE4DEF" w:rsidP="006A60B4">
            <w:pPr>
              <w:pStyle w:val="NormalWeb"/>
              <w:jc w:val="center"/>
            </w:pPr>
            <w:r>
              <w:t>0 (1.9)</w:t>
            </w:r>
          </w:p>
        </w:tc>
        <w:tc>
          <w:tcPr>
            <w:tcW w:w="1575" w:type="dxa"/>
            <w:hideMark/>
          </w:tcPr>
          <w:p w14:paraId="4AAD0239" w14:textId="77777777" w:rsidR="00FE4DEF" w:rsidRDefault="00FE4DEF" w:rsidP="006A60B4">
            <w:pPr>
              <w:pStyle w:val="NormalWeb"/>
              <w:jc w:val="center"/>
            </w:pPr>
            <w:r>
              <w:t>8 (11.1)</w:t>
            </w:r>
          </w:p>
        </w:tc>
        <w:tc>
          <w:tcPr>
            <w:tcW w:w="1575" w:type="dxa"/>
            <w:hideMark/>
          </w:tcPr>
          <w:p w14:paraId="6A3B1D32" w14:textId="77777777" w:rsidR="00FE4DEF" w:rsidRDefault="00FE4DEF" w:rsidP="006A60B4">
            <w:pPr>
              <w:pStyle w:val="NormalWeb"/>
              <w:jc w:val="center"/>
            </w:pPr>
            <w:r>
              <w:t>3 (7.0)</w:t>
            </w:r>
          </w:p>
        </w:tc>
        <w:tc>
          <w:tcPr>
            <w:tcW w:w="1575" w:type="dxa"/>
            <w:hideMark/>
          </w:tcPr>
          <w:p w14:paraId="78DBF4DB" w14:textId="77777777" w:rsidR="00FE4DEF" w:rsidRDefault="00FE4DEF" w:rsidP="006A60B4">
            <w:pPr>
              <w:pStyle w:val="NormalWeb"/>
              <w:jc w:val="center"/>
            </w:pPr>
            <w:r>
              <w:t>11 (9.6)</w:t>
            </w:r>
          </w:p>
        </w:tc>
      </w:tr>
      <w:tr w:rsidR="006A60B4" w14:paraId="1BAB3E26" w14:textId="77777777" w:rsidTr="00FA7EB2">
        <w:tc>
          <w:tcPr>
            <w:tcW w:w="0" w:type="auto"/>
            <w:hideMark/>
          </w:tcPr>
          <w:p w14:paraId="1B3890C3" w14:textId="77777777" w:rsidR="00FE4DEF" w:rsidRDefault="00FE4DEF">
            <w:pPr>
              <w:pStyle w:val="NormalWeb"/>
            </w:pPr>
            <w:r>
              <w:t>65–79</w:t>
            </w:r>
          </w:p>
        </w:tc>
        <w:tc>
          <w:tcPr>
            <w:tcW w:w="1574" w:type="dxa"/>
            <w:hideMark/>
          </w:tcPr>
          <w:p w14:paraId="64164E39" w14:textId="77777777" w:rsidR="00FE4DEF" w:rsidRDefault="00FE4DEF" w:rsidP="006A60B4">
            <w:pPr>
              <w:pStyle w:val="NormalWeb"/>
              <w:jc w:val="center"/>
            </w:pPr>
            <w:r>
              <w:t>77 (6.1)</w:t>
            </w:r>
          </w:p>
        </w:tc>
        <w:tc>
          <w:tcPr>
            <w:tcW w:w="1575" w:type="dxa"/>
            <w:hideMark/>
          </w:tcPr>
          <w:p w14:paraId="46C3C230" w14:textId="77777777" w:rsidR="00FE4DEF" w:rsidRDefault="00FE4DEF" w:rsidP="006A60B4">
            <w:pPr>
              <w:pStyle w:val="NormalWeb"/>
              <w:jc w:val="center"/>
            </w:pPr>
            <w:r>
              <w:t>46 (3.9)</w:t>
            </w:r>
          </w:p>
        </w:tc>
        <w:tc>
          <w:tcPr>
            <w:tcW w:w="1575" w:type="dxa"/>
            <w:hideMark/>
          </w:tcPr>
          <w:p w14:paraId="5EFD9157" w14:textId="77777777" w:rsidR="00FE4DEF" w:rsidRDefault="00FE4DEF" w:rsidP="006A60B4">
            <w:pPr>
              <w:pStyle w:val="NormalWeb"/>
              <w:jc w:val="center"/>
            </w:pPr>
            <w:r>
              <w:t>123 (5.1)</w:t>
            </w:r>
          </w:p>
        </w:tc>
        <w:tc>
          <w:tcPr>
            <w:tcW w:w="1575" w:type="dxa"/>
            <w:hideMark/>
          </w:tcPr>
          <w:p w14:paraId="40BD91A5" w14:textId="77777777" w:rsidR="00FE4DEF" w:rsidRDefault="00FE4DEF" w:rsidP="006A60B4">
            <w:pPr>
              <w:pStyle w:val="NormalWeb"/>
              <w:jc w:val="center"/>
            </w:pPr>
            <w:r>
              <w:t>5 (15.6)</w:t>
            </w:r>
          </w:p>
        </w:tc>
        <w:tc>
          <w:tcPr>
            <w:tcW w:w="1575" w:type="dxa"/>
            <w:hideMark/>
          </w:tcPr>
          <w:p w14:paraId="43893504" w14:textId="77777777" w:rsidR="00FE4DEF" w:rsidRDefault="00FE4DEF" w:rsidP="006A60B4">
            <w:pPr>
              <w:pStyle w:val="NormalWeb"/>
              <w:jc w:val="center"/>
            </w:pPr>
            <w:r>
              <w:t>1 (4.8)</w:t>
            </w:r>
          </w:p>
        </w:tc>
        <w:tc>
          <w:tcPr>
            <w:tcW w:w="1575" w:type="dxa"/>
            <w:hideMark/>
          </w:tcPr>
          <w:p w14:paraId="01C3BEA3" w14:textId="77777777" w:rsidR="00FE4DEF" w:rsidRDefault="00FE4DEF" w:rsidP="006A60B4">
            <w:pPr>
              <w:pStyle w:val="NormalWeb"/>
              <w:jc w:val="center"/>
            </w:pPr>
            <w:r>
              <w:t>6 (11.2)</w:t>
            </w:r>
          </w:p>
        </w:tc>
        <w:tc>
          <w:tcPr>
            <w:tcW w:w="1575" w:type="dxa"/>
            <w:hideMark/>
          </w:tcPr>
          <w:p w14:paraId="4D752112" w14:textId="77777777" w:rsidR="00FE4DEF" w:rsidRDefault="00FE4DEF" w:rsidP="006A60B4">
            <w:pPr>
              <w:pStyle w:val="NormalWeb"/>
              <w:jc w:val="center"/>
            </w:pPr>
            <w:r>
              <w:t>20 (24.4)</w:t>
            </w:r>
          </w:p>
        </w:tc>
        <w:tc>
          <w:tcPr>
            <w:tcW w:w="1575" w:type="dxa"/>
            <w:hideMark/>
          </w:tcPr>
          <w:p w14:paraId="21828FAD" w14:textId="77777777" w:rsidR="00FE4DEF" w:rsidRDefault="00FE4DEF" w:rsidP="006A60B4">
            <w:pPr>
              <w:pStyle w:val="NormalWeb"/>
              <w:jc w:val="center"/>
            </w:pPr>
            <w:r>
              <w:t>8 (17.0)</w:t>
            </w:r>
          </w:p>
        </w:tc>
        <w:tc>
          <w:tcPr>
            <w:tcW w:w="1575" w:type="dxa"/>
            <w:hideMark/>
          </w:tcPr>
          <w:p w14:paraId="28CEAC0D" w14:textId="77777777" w:rsidR="00FE4DEF" w:rsidRDefault="00FE4DEF" w:rsidP="006A60B4">
            <w:pPr>
              <w:pStyle w:val="NormalWeb"/>
              <w:jc w:val="center"/>
            </w:pPr>
            <w:r>
              <w:t>28 (21.7)</w:t>
            </w:r>
          </w:p>
        </w:tc>
      </w:tr>
      <w:tr w:rsidR="00FA7EB2" w14:paraId="68E81910" w14:textId="77777777" w:rsidTr="00FA7EB2">
        <w:trPr>
          <w:cnfStyle w:val="000000010000" w:firstRow="0" w:lastRow="0" w:firstColumn="0" w:lastColumn="0" w:oddVBand="0" w:evenVBand="0" w:oddHBand="0" w:evenHBand="1" w:firstRowFirstColumn="0" w:firstRowLastColumn="0" w:lastRowFirstColumn="0" w:lastRowLastColumn="0"/>
        </w:trPr>
        <w:tc>
          <w:tcPr>
            <w:tcW w:w="0" w:type="auto"/>
            <w:hideMark/>
          </w:tcPr>
          <w:p w14:paraId="137BFFF7" w14:textId="77777777" w:rsidR="00FE4DEF" w:rsidRDefault="00FE4DEF">
            <w:pPr>
              <w:pStyle w:val="NormalWeb"/>
            </w:pPr>
            <w:r>
              <w:t>80 +</w:t>
            </w:r>
          </w:p>
        </w:tc>
        <w:tc>
          <w:tcPr>
            <w:tcW w:w="1574" w:type="dxa"/>
            <w:hideMark/>
          </w:tcPr>
          <w:p w14:paraId="17175723" w14:textId="77777777" w:rsidR="00FE4DEF" w:rsidRDefault="00FE4DEF" w:rsidP="006A60B4">
            <w:pPr>
              <w:pStyle w:val="NormalWeb"/>
              <w:jc w:val="center"/>
            </w:pPr>
            <w:r>
              <w:t>187 (28.0)</w:t>
            </w:r>
          </w:p>
        </w:tc>
        <w:tc>
          <w:tcPr>
            <w:tcW w:w="1575" w:type="dxa"/>
            <w:hideMark/>
          </w:tcPr>
          <w:p w14:paraId="75769A3A" w14:textId="77777777" w:rsidR="00FE4DEF" w:rsidRDefault="00FE4DEF" w:rsidP="006A60B4">
            <w:pPr>
              <w:pStyle w:val="NormalWeb"/>
              <w:jc w:val="center"/>
            </w:pPr>
            <w:r>
              <w:t>243 (19.8)</w:t>
            </w:r>
          </w:p>
        </w:tc>
        <w:tc>
          <w:tcPr>
            <w:tcW w:w="1575" w:type="dxa"/>
            <w:hideMark/>
          </w:tcPr>
          <w:p w14:paraId="62078BF8" w14:textId="77777777" w:rsidR="00FE4DEF" w:rsidRDefault="00FE4DEF" w:rsidP="006A60B4">
            <w:pPr>
              <w:pStyle w:val="NormalWeb"/>
              <w:jc w:val="center"/>
            </w:pPr>
            <w:r>
              <w:t>430 (22.7)</w:t>
            </w:r>
          </w:p>
        </w:tc>
        <w:tc>
          <w:tcPr>
            <w:tcW w:w="1575" w:type="dxa"/>
            <w:hideMark/>
          </w:tcPr>
          <w:p w14:paraId="56918E52" w14:textId="77777777" w:rsidR="00FE4DEF" w:rsidRDefault="00FE4DEF" w:rsidP="006A60B4">
            <w:pPr>
              <w:pStyle w:val="NormalWeb"/>
              <w:jc w:val="center"/>
            </w:pPr>
            <w:r>
              <w:t>10 (47.6)</w:t>
            </w:r>
          </w:p>
        </w:tc>
        <w:tc>
          <w:tcPr>
            <w:tcW w:w="1575" w:type="dxa"/>
            <w:hideMark/>
          </w:tcPr>
          <w:p w14:paraId="290DC8D7" w14:textId="77777777" w:rsidR="00FE4DEF" w:rsidRDefault="00FE4DEF" w:rsidP="006A60B4">
            <w:pPr>
              <w:pStyle w:val="NormalWeb"/>
              <w:jc w:val="center"/>
            </w:pPr>
            <w:r>
              <w:t>10 (47.6)</w:t>
            </w:r>
          </w:p>
        </w:tc>
        <w:tc>
          <w:tcPr>
            <w:tcW w:w="1575" w:type="dxa"/>
            <w:hideMark/>
          </w:tcPr>
          <w:p w14:paraId="10DEACE9" w14:textId="77777777" w:rsidR="00FE4DEF" w:rsidRDefault="00FE4DEF" w:rsidP="006A60B4">
            <w:pPr>
              <w:pStyle w:val="NormalWeb"/>
              <w:jc w:val="center"/>
            </w:pPr>
            <w:r>
              <w:t>20 (47.6)</w:t>
            </w:r>
          </w:p>
        </w:tc>
        <w:tc>
          <w:tcPr>
            <w:tcW w:w="1575" w:type="dxa"/>
            <w:hideMark/>
          </w:tcPr>
          <w:p w14:paraId="499C2117" w14:textId="77777777" w:rsidR="00FE4DEF" w:rsidRDefault="00FE4DEF" w:rsidP="006A60B4">
            <w:pPr>
              <w:pStyle w:val="NormalWeb"/>
              <w:jc w:val="center"/>
            </w:pPr>
            <w:r>
              <w:t>9 (75.0)</w:t>
            </w:r>
          </w:p>
        </w:tc>
        <w:tc>
          <w:tcPr>
            <w:tcW w:w="1575" w:type="dxa"/>
            <w:hideMark/>
          </w:tcPr>
          <w:p w14:paraId="05AE3CE9" w14:textId="77777777" w:rsidR="00FE4DEF" w:rsidRDefault="00FE4DEF" w:rsidP="006A60B4">
            <w:pPr>
              <w:pStyle w:val="NormalWeb"/>
              <w:jc w:val="center"/>
            </w:pPr>
            <w:r>
              <w:t>2 (50.0)</w:t>
            </w:r>
          </w:p>
        </w:tc>
        <w:tc>
          <w:tcPr>
            <w:tcW w:w="1575" w:type="dxa"/>
            <w:hideMark/>
          </w:tcPr>
          <w:p w14:paraId="08636A0D" w14:textId="77777777" w:rsidR="00FE4DEF" w:rsidRDefault="00FE4DEF" w:rsidP="006A60B4">
            <w:pPr>
              <w:pStyle w:val="NormalWeb"/>
              <w:jc w:val="center"/>
            </w:pPr>
            <w:r>
              <w:t>11 (64)</w:t>
            </w:r>
          </w:p>
        </w:tc>
      </w:tr>
      <w:tr w:rsidR="00FA7EB2" w:rsidRPr="006A60B4" w14:paraId="66BB3209" w14:textId="77777777" w:rsidTr="00FA7EB2">
        <w:tc>
          <w:tcPr>
            <w:tcW w:w="0" w:type="auto"/>
            <w:shd w:val="clear" w:color="auto" w:fill="FDE9D9" w:themeFill="accent6" w:themeFillTint="33"/>
            <w:hideMark/>
          </w:tcPr>
          <w:p w14:paraId="2B165853" w14:textId="77777777" w:rsidR="00FE4DEF" w:rsidRPr="006A60B4" w:rsidRDefault="00FE4DEF">
            <w:pPr>
              <w:pStyle w:val="NormalWeb"/>
              <w:rPr>
                <w:b/>
              </w:rPr>
            </w:pPr>
            <w:r w:rsidRPr="006A60B4">
              <w:rPr>
                <w:b/>
              </w:rPr>
              <w:t>Total</w:t>
            </w:r>
          </w:p>
        </w:tc>
        <w:tc>
          <w:tcPr>
            <w:tcW w:w="1574" w:type="dxa"/>
            <w:shd w:val="clear" w:color="auto" w:fill="FDE9D9" w:themeFill="accent6" w:themeFillTint="33"/>
            <w:hideMark/>
          </w:tcPr>
          <w:p w14:paraId="13473602" w14:textId="77777777" w:rsidR="00FE4DEF" w:rsidRPr="006A60B4" w:rsidRDefault="00FE4DEF" w:rsidP="006A60B4">
            <w:pPr>
              <w:pStyle w:val="NormalWeb"/>
              <w:jc w:val="center"/>
              <w:rPr>
                <w:b/>
              </w:rPr>
            </w:pPr>
            <w:r w:rsidRPr="006A60B4">
              <w:rPr>
                <w:b/>
              </w:rPr>
              <w:t>282 (2.3)</w:t>
            </w:r>
          </w:p>
        </w:tc>
        <w:tc>
          <w:tcPr>
            <w:tcW w:w="1575" w:type="dxa"/>
            <w:shd w:val="clear" w:color="auto" w:fill="FDE9D9" w:themeFill="accent6" w:themeFillTint="33"/>
            <w:hideMark/>
          </w:tcPr>
          <w:p w14:paraId="2DEF93A4" w14:textId="77777777" w:rsidR="00FE4DEF" w:rsidRPr="006A60B4" w:rsidRDefault="00FE4DEF" w:rsidP="006A60B4">
            <w:pPr>
              <w:pStyle w:val="NormalWeb"/>
              <w:jc w:val="center"/>
              <w:rPr>
                <w:b/>
              </w:rPr>
            </w:pPr>
            <w:r w:rsidRPr="006A60B4">
              <w:rPr>
                <w:b/>
              </w:rPr>
              <w:t>295 (2.3)</w:t>
            </w:r>
          </w:p>
        </w:tc>
        <w:tc>
          <w:tcPr>
            <w:tcW w:w="1575" w:type="dxa"/>
            <w:shd w:val="clear" w:color="auto" w:fill="FDE9D9" w:themeFill="accent6" w:themeFillTint="33"/>
            <w:hideMark/>
          </w:tcPr>
          <w:p w14:paraId="5AFFB4CC" w14:textId="77777777" w:rsidR="00FE4DEF" w:rsidRPr="006A60B4" w:rsidRDefault="00FE4DEF" w:rsidP="006A60B4">
            <w:pPr>
              <w:pStyle w:val="NormalWeb"/>
              <w:jc w:val="center"/>
              <w:rPr>
                <w:b/>
              </w:rPr>
            </w:pPr>
            <w:r w:rsidRPr="006A60B4">
              <w:rPr>
                <w:b/>
              </w:rPr>
              <w:t>577 (2.3)</w:t>
            </w:r>
          </w:p>
        </w:tc>
        <w:tc>
          <w:tcPr>
            <w:tcW w:w="1575" w:type="dxa"/>
            <w:shd w:val="clear" w:color="auto" w:fill="FDE9D9" w:themeFill="accent6" w:themeFillTint="33"/>
            <w:hideMark/>
          </w:tcPr>
          <w:p w14:paraId="1EC7D51F" w14:textId="77777777" w:rsidR="00FE4DEF" w:rsidRPr="006A60B4" w:rsidRDefault="00FE4DEF" w:rsidP="006A60B4">
            <w:pPr>
              <w:pStyle w:val="NormalWeb"/>
              <w:jc w:val="center"/>
              <w:rPr>
                <w:b/>
              </w:rPr>
            </w:pPr>
            <w:r w:rsidRPr="006A60B4">
              <w:rPr>
                <w:b/>
              </w:rPr>
              <w:t>16 (12.4)</w:t>
            </w:r>
          </w:p>
        </w:tc>
        <w:tc>
          <w:tcPr>
            <w:tcW w:w="1575" w:type="dxa"/>
            <w:shd w:val="clear" w:color="auto" w:fill="FDE9D9" w:themeFill="accent6" w:themeFillTint="33"/>
            <w:hideMark/>
          </w:tcPr>
          <w:p w14:paraId="7347C606" w14:textId="77777777" w:rsidR="00FE4DEF" w:rsidRPr="006A60B4" w:rsidRDefault="00FE4DEF" w:rsidP="006A60B4">
            <w:pPr>
              <w:pStyle w:val="NormalWeb"/>
              <w:jc w:val="center"/>
              <w:rPr>
                <w:b/>
              </w:rPr>
            </w:pPr>
            <w:r w:rsidRPr="006A60B4">
              <w:rPr>
                <w:b/>
              </w:rPr>
              <w:t>12 (9.45)</w:t>
            </w:r>
          </w:p>
        </w:tc>
        <w:tc>
          <w:tcPr>
            <w:tcW w:w="1575" w:type="dxa"/>
            <w:shd w:val="clear" w:color="auto" w:fill="FDE9D9" w:themeFill="accent6" w:themeFillTint="33"/>
            <w:hideMark/>
          </w:tcPr>
          <w:p w14:paraId="2384C420" w14:textId="77777777" w:rsidR="00FE4DEF" w:rsidRPr="006A60B4" w:rsidRDefault="00FE4DEF" w:rsidP="006A60B4">
            <w:pPr>
              <w:pStyle w:val="NormalWeb"/>
              <w:jc w:val="center"/>
              <w:rPr>
                <w:b/>
              </w:rPr>
            </w:pPr>
            <w:r w:rsidRPr="006A60B4">
              <w:rPr>
                <w:b/>
              </w:rPr>
              <w:t>28 (10.9)</w:t>
            </w:r>
          </w:p>
        </w:tc>
        <w:tc>
          <w:tcPr>
            <w:tcW w:w="1575" w:type="dxa"/>
            <w:shd w:val="clear" w:color="auto" w:fill="FDE9D9" w:themeFill="accent6" w:themeFillTint="33"/>
            <w:hideMark/>
          </w:tcPr>
          <w:p w14:paraId="3764C17D" w14:textId="77777777" w:rsidR="00FE4DEF" w:rsidRPr="006A60B4" w:rsidRDefault="00FE4DEF" w:rsidP="006A60B4">
            <w:pPr>
              <w:pStyle w:val="NormalWeb"/>
              <w:jc w:val="center"/>
              <w:rPr>
                <w:b/>
              </w:rPr>
            </w:pPr>
            <w:r w:rsidRPr="006A60B4">
              <w:rPr>
                <w:b/>
              </w:rPr>
              <w:t>38 (17.4)</w:t>
            </w:r>
          </w:p>
        </w:tc>
        <w:tc>
          <w:tcPr>
            <w:tcW w:w="1575" w:type="dxa"/>
            <w:shd w:val="clear" w:color="auto" w:fill="FDE9D9" w:themeFill="accent6" w:themeFillTint="33"/>
            <w:hideMark/>
          </w:tcPr>
          <w:p w14:paraId="2F5FA54A" w14:textId="77777777" w:rsidR="00FE4DEF" w:rsidRPr="006A60B4" w:rsidRDefault="00FE4DEF" w:rsidP="006A60B4">
            <w:pPr>
              <w:pStyle w:val="NormalWeb"/>
              <w:jc w:val="center"/>
              <w:rPr>
                <w:b/>
              </w:rPr>
            </w:pPr>
            <w:r w:rsidRPr="006A60B4">
              <w:rPr>
                <w:b/>
              </w:rPr>
              <w:t>13 (10.2)</w:t>
            </w:r>
          </w:p>
        </w:tc>
        <w:tc>
          <w:tcPr>
            <w:tcW w:w="1575" w:type="dxa"/>
            <w:shd w:val="clear" w:color="auto" w:fill="FDE9D9" w:themeFill="accent6" w:themeFillTint="33"/>
            <w:hideMark/>
          </w:tcPr>
          <w:p w14:paraId="0354C94D" w14:textId="77777777" w:rsidR="00FE4DEF" w:rsidRPr="006A60B4" w:rsidRDefault="00FE4DEF" w:rsidP="006A60B4">
            <w:pPr>
              <w:pStyle w:val="NormalWeb"/>
              <w:jc w:val="center"/>
              <w:rPr>
                <w:b/>
              </w:rPr>
            </w:pPr>
            <w:r w:rsidRPr="006A60B4">
              <w:rPr>
                <w:b/>
              </w:rPr>
              <w:t>51 (13.0)</w:t>
            </w:r>
          </w:p>
        </w:tc>
      </w:tr>
    </w:tbl>
    <w:p w14:paraId="367B83C6" w14:textId="77777777" w:rsidR="00FE4DEF" w:rsidRDefault="00FE4DEF" w:rsidP="0008158F">
      <w:pPr>
        <w:pStyle w:val="CDIfootnotes"/>
      </w:pPr>
      <w:proofErr w:type="gramStart"/>
      <w:r>
        <w:t>a</w:t>
      </w:r>
      <w:proofErr w:type="gramEnd"/>
      <w:r>
        <w:tab/>
        <w:t>Source: NNDSS (Total cases = 25,599).</w:t>
      </w:r>
    </w:p>
    <w:p w14:paraId="3B7B211D" w14:textId="77777777" w:rsidR="00FE4DEF" w:rsidRDefault="00FE4DEF" w:rsidP="0008158F">
      <w:pPr>
        <w:pStyle w:val="CDIfootnotes"/>
      </w:pPr>
      <w:proofErr w:type="gramStart"/>
      <w:r>
        <w:t>b</w:t>
      </w:r>
      <w:proofErr w:type="gramEnd"/>
      <w:r>
        <w:tab/>
        <w:t>Source: FluCAN, includes 21 sentinel hospitals (Total cases = 380).</w:t>
      </w:r>
    </w:p>
    <w:p w14:paraId="7DB23BBC" w14:textId="77777777" w:rsidR="00FE4DEF" w:rsidRDefault="00FE4DEF" w:rsidP="0008158F">
      <w:pPr>
        <w:pStyle w:val="CDIfootnotes"/>
      </w:pPr>
      <w:proofErr w:type="gramStart"/>
      <w:r>
        <w:t>c</w:t>
      </w:r>
      <w:proofErr w:type="gramEnd"/>
      <w:r>
        <w:tab/>
        <w:t>Source: SPRINT-SARI, includes 77 sentinel ICU/HDUs (Total cases = 434).</w:t>
      </w:r>
    </w:p>
    <w:p w14:paraId="39AA9235" w14:textId="77777777" w:rsidR="00FE4DEF" w:rsidRDefault="00FE4DEF" w:rsidP="0008158F">
      <w:pPr>
        <w:pStyle w:val="CDIfootnotes"/>
      </w:pPr>
      <w:proofErr w:type="gramStart"/>
      <w:r>
        <w:t>d</w:t>
      </w:r>
      <w:proofErr w:type="gramEnd"/>
      <w:r>
        <w:tab/>
        <w:t>CFR expressed as a percentage.</w:t>
      </w:r>
    </w:p>
    <w:p w14:paraId="5FB7DF48" w14:textId="77777777" w:rsidR="00FA7EB2" w:rsidRDefault="00FA7EB2" w:rsidP="0008158F">
      <w:pPr>
        <w:pStyle w:val="Heading1"/>
        <w:sectPr w:rsidR="00FA7EB2" w:rsidSect="00FA7EB2">
          <w:footnotePr>
            <w:numFmt w:val="lowerRoman"/>
          </w:footnotePr>
          <w:pgSz w:w="16838" w:h="11906" w:orient="landscape"/>
          <w:pgMar w:top="720" w:right="720" w:bottom="720" w:left="1134" w:header="709" w:footer="284" w:gutter="0"/>
          <w:cols w:space="708"/>
          <w:titlePg/>
          <w:docGrid w:linePitch="360"/>
        </w:sectPr>
      </w:pPr>
    </w:p>
    <w:p w14:paraId="2BFDB9CE" w14:textId="77777777" w:rsidR="00FE4DEF" w:rsidRPr="0008158F" w:rsidRDefault="00FE4DEF" w:rsidP="0008158F">
      <w:pPr>
        <w:pStyle w:val="Heading1"/>
      </w:pPr>
      <w:r w:rsidRPr="0008158F">
        <w:lastRenderedPageBreak/>
        <w:t xml:space="preserve">Acute respiratory illness surveillance </w:t>
      </w:r>
    </w:p>
    <w:p w14:paraId="3FCDD5D9" w14:textId="77777777" w:rsidR="00FE4DEF" w:rsidRDefault="00FE4DEF" w:rsidP="0008158F">
      <w:r>
        <w:t xml:space="preserve">Our current understanding of COVID-19 indicates that approximately 80% of infections are mild and that the most common symptoms are consistent with an acute respiratory illness (ARI) and/or influenza-like illness (ILI). It is therefore important to monitor trends in the number of people reporting symptoms of mild respiratory illnesses (syndromic surveillance) in the community and in primary care settings. </w:t>
      </w:r>
    </w:p>
    <w:p w14:paraId="5691C0A5" w14:textId="77777777" w:rsidR="00FE4DEF" w:rsidRDefault="00FE4DEF" w:rsidP="0008158F">
      <w:r>
        <w:t>At a national level, the surveillance systems and programs that provide this information within Australia are the online FluTracking syndromic surveillance system, the Australian Sentinel Practices Research Network (ASPREN) and Victoria Sentinel Practice Influenza Network (</w:t>
      </w:r>
      <w:proofErr w:type="spellStart"/>
      <w:r>
        <w:t>VicSPIN</w:t>
      </w:r>
      <w:proofErr w:type="spellEnd"/>
      <w:r>
        <w:t xml:space="preserve">) general practice (GP) sentinel surveillance systems, and the Commonwealth GP Respiratory Clinics. These systems are not specific to COVID-19; they monitor any respiratory illness experienced in the reporting period. </w:t>
      </w:r>
    </w:p>
    <w:p w14:paraId="3098597A" w14:textId="77777777" w:rsidR="00FE4DEF" w:rsidRDefault="00FE4DEF" w:rsidP="0008158F">
      <w:r>
        <w:t xml:space="preserve">FluTracking is an online syndromic surveillance system which monitors ILI in the community. During the influenza season, participants receive a weekly email survey which collects data on the rate of ILI-related symptoms and healthcare seeking behaviour in communities. The survey usually commences at the beginning of May each year but commenced at the end of February in 2020 to support the COVID-19 response. Approximately 70,000 to 85,000 people participate in FluTracking across Australia each week. </w:t>
      </w:r>
    </w:p>
    <w:p w14:paraId="5FAD677F" w14:textId="77777777" w:rsidR="00FE4DEF" w:rsidRDefault="00FE4DEF" w:rsidP="0008158F">
      <w:r>
        <w:t>Based on self-reported FluTracking data, fever and cough in the community continues to be low nationally, much lower than the historical average for this time of year (Figure 10). It is recommended that anyone experiencing cold or flu-like symptoms, such as a cough, fever, sore throat, shortness of breath or runny nose, even if these are mild, should get tested for COVID-19 as soon as possible.</w:t>
      </w:r>
    </w:p>
    <w:p w14:paraId="1A686C99" w14:textId="77777777" w:rsidR="00FA7EB2" w:rsidRDefault="00FA7EB2">
      <w:pPr>
        <w:rPr>
          <w:b/>
        </w:rPr>
      </w:pPr>
      <w:r>
        <w:br w:type="page"/>
      </w:r>
    </w:p>
    <w:p w14:paraId="331AEDEB" w14:textId="77777777" w:rsidR="00FE4DEF" w:rsidRDefault="00FE4DEF" w:rsidP="0008158F">
      <w:pPr>
        <w:pStyle w:val="CDIFigures"/>
      </w:pPr>
      <w:r>
        <w:lastRenderedPageBreak/>
        <w:t xml:space="preserve">Figure 10. Weekly trends in respiratory illness amongst FluTracking survey participants (age standardised), 2020 and average of the previous five </w:t>
      </w:r>
      <w:proofErr w:type="spellStart"/>
      <w:r>
        <w:t>years</w:t>
      </w:r>
      <w:r w:rsidRPr="00FA7EB2">
        <w:rPr>
          <w:vertAlign w:val="superscript"/>
        </w:rPr>
        <w:t>a</w:t>
      </w:r>
      <w:proofErr w:type="spellEnd"/>
    </w:p>
    <w:p w14:paraId="2B261D06" w14:textId="77777777" w:rsidR="00FE4DEF" w:rsidRDefault="00FE4DEF">
      <w:pPr>
        <w:pStyle w:val="NormalWeb"/>
      </w:pPr>
      <w:r>
        <w:rPr>
          <w:noProof/>
        </w:rPr>
        <w:drawing>
          <wp:inline distT="0" distB="0" distL="0" distR="0" wp14:anchorId="54CC6431" wp14:editId="09552640">
            <wp:extent cx="6734880" cy="4386755"/>
            <wp:effectExtent l="0" t="0" r="8890" b="0"/>
            <wp:docPr id="10" name="Picture 10" descr="Line graph comparing weekly fever and cough notifications, as an age-standardised percentage of FluTracking survey participants, since 1 March 2020 with the averaged notifications each week for the years 2015–2019. Notifications for much of March this year were around 1.5% but from April through to 30 August have consistently remaining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Augu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2020\63-COVID-19 report 24\MS-Word output\figures_and_tables-web-resources\image\f1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740988" cy="4390733"/>
                    </a:xfrm>
                    <a:prstGeom prst="rect">
                      <a:avLst/>
                    </a:prstGeom>
                  </pic:spPr>
                </pic:pic>
              </a:graphicData>
            </a:graphic>
          </wp:inline>
        </w:drawing>
      </w:r>
    </w:p>
    <w:p w14:paraId="7034420C" w14:textId="77777777" w:rsidR="00FE4DEF" w:rsidRDefault="00FE4DEF" w:rsidP="0008158F">
      <w:pPr>
        <w:pStyle w:val="CDIfootnotes"/>
      </w:pPr>
      <w:proofErr w:type="gramStart"/>
      <w:r>
        <w:t>a</w:t>
      </w:r>
      <w:proofErr w:type="gramEnd"/>
      <w:r>
        <w:tab/>
        <w:t>FluTracking commenced 10 weeks early in 2020 in response to COVID-19.</w:t>
      </w:r>
    </w:p>
    <w:p w14:paraId="1FD6C285" w14:textId="77777777" w:rsidR="00FA7EB2" w:rsidRDefault="00FA7EB2" w:rsidP="0008158F">
      <w:pPr>
        <w:pStyle w:val="CDIfootnotes"/>
      </w:pPr>
    </w:p>
    <w:p w14:paraId="0CF11B0C" w14:textId="77777777" w:rsidR="00FE4DEF" w:rsidRDefault="00FE4DEF" w:rsidP="0008158F">
      <w:r>
        <w:t xml:space="preserve">In patients experiencing influenza-like illness in the last fortnight and tested through the ASPREN and </w:t>
      </w:r>
      <w:proofErr w:type="spellStart"/>
      <w:r>
        <w:t>VicSPIN</w:t>
      </w:r>
      <w:proofErr w:type="spellEnd"/>
      <w:r>
        <w:t xml:space="preserve"> GP sentinel surveillance systems, the most frequent respiratory viruses detected were rhinoviruses and adenoviruses. </w:t>
      </w:r>
    </w:p>
    <w:p w14:paraId="18A74DB7" w14:textId="77777777" w:rsidR="00FE4DEF" w:rsidRDefault="00FE4DEF" w:rsidP="0008158F">
      <w:r>
        <w:t xml:space="preserve">In response to COVID-19, the Australian Government rapidly established GP Respiratory Clinics throughout Australia. To ensure access to care and testing, clinics are open to those with symptoms of mild to moderate respiratory illness. While these clinics diagnose a small proportion of COVID-19 cases in Australia, the case histories obtained by these clinics are comprehensive and also offer a unique opportunity to compare and contrast COVID-19 and non-COVID-19 illness. </w:t>
      </w:r>
    </w:p>
    <w:p w14:paraId="655D1B5A" w14:textId="77777777" w:rsidR="00FE4DEF" w:rsidRDefault="00FE4DEF" w:rsidP="0008158F">
      <w:r>
        <w:t xml:space="preserve">Over the two-week reporting period, 68,085 assessments were recorded for patients who consented to share information, of whom 66,078 (97.1%) were tested for SARS-CoV-2, 47 of which were positive (numbers were correct as at 1 September 2020). </w:t>
      </w:r>
    </w:p>
    <w:p w14:paraId="3FEF3C8A" w14:textId="77777777" w:rsidR="00FE4DEF" w:rsidRDefault="00FE4DEF" w:rsidP="0008158F">
      <w:r>
        <w:t>Based on all presentations to these clinics to date, the principal symptoms reported in COVID-19 cases were cough (40%), sore throat (33%), tiredness (29%), runny nose (23%), and fever (20%) (Figure 11).</w:t>
      </w:r>
    </w:p>
    <w:p w14:paraId="57F242BD" w14:textId="77777777" w:rsidR="00FA7EB2" w:rsidRDefault="00FA7EB2">
      <w:pPr>
        <w:rPr>
          <w:b/>
        </w:rPr>
      </w:pPr>
      <w:r>
        <w:br w:type="page"/>
      </w:r>
    </w:p>
    <w:p w14:paraId="03F726E1" w14:textId="77777777" w:rsidR="00FE4DEF" w:rsidRDefault="00FE4DEF" w:rsidP="0008158F">
      <w:pPr>
        <w:pStyle w:val="CDIFigures"/>
      </w:pPr>
      <w:r>
        <w:lastRenderedPageBreak/>
        <w:t>Figure 11. Symptom profile in COVID-19 vs non-COVID-19 presentations, Australia, as at 30 August 2020</w:t>
      </w:r>
    </w:p>
    <w:p w14:paraId="3B9B2D87" w14:textId="77777777" w:rsidR="00FE4DEF" w:rsidRDefault="00FE4DEF">
      <w:pPr>
        <w:rPr>
          <w:rFonts w:eastAsia="Times New Roman"/>
        </w:rPr>
      </w:pPr>
      <w:r>
        <w:rPr>
          <w:rFonts w:eastAsia="Times New Roman"/>
          <w:noProof/>
        </w:rPr>
        <w:drawing>
          <wp:inline distT="0" distB="0" distL="0" distR="0" wp14:anchorId="09B617BC" wp14:editId="22A90C11">
            <wp:extent cx="6668623" cy="4343400"/>
            <wp:effectExtent l="0" t="0" r="0" b="0"/>
            <wp:docPr id="11" name="Picture 11" descr="Bar chart comparing symptom reporting among patients presenting with positive SARS-CoV-2 tests versus those testing negative for SARS-CoV-2, during the course of the epidemic to date. It is notable that of the five most commonly-reported symptoms of COVID-19 (cough, sore throat, tiredness, runny nose, and fever), only fever (reported in 20% of those with COVID-19, and in 16% of those testing negative) is reported more frequently among cases than among non-cases. Based on the respective symptom profiles of positive-testing versus negative-testing patients, the symptoms most likely to indicated COVID-19 infection are loss of smell and loss of taste, each seen in around 6% of positive presentations but in less than 2% of negative presentations. Nonetheless, it is apparent that there is no unique symptom which can be strongly considered indicative of COV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2020\63-COVID-19 report 24\MS-Word output\figures_and_tables-web-resources\image\f11.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71182" cy="4345067"/>
                    </a:xfrm>
                    <a:prstGeom prst="rect">
                      <a:avLst/>
                    </a:prstGeom>
                  </pic:spPr>
                </pic:pic>
              </a:graphicData>
            </a:graphic>
          </wp:inline>
        </w:drawing>
      </w:r>
    </w:p>
    <w:p w14:paraId="4B2E58D4" w14:textId="77777777" w:rsidR="00FE4DEF" w:rsidRPr="0008158F" w:rsidRDefault="00FE4DEF" w:rsidP="0008158F">
      <w:pPr>
        <w:pStyle w:val="Heading1"/>
      </w:pPr>
      <w:r w:rsidRPr="0008158F">
        <w:t xml:space="preserve">Public health response measures </w:t>
      </w:r>
    </w:p>
    <w:p w14:paraId="4C128D1D" w14:textId="77777777" w:rsidR="00FE4DEF" w:rsidRDefault="00FE4DEF" w:rsidP="0008158F">
      <w:r>
        <w:t>Since COVID-19 first emerged internationally, Australia has implemented public health measures informed by the disease’s epidemiology (Figure 12). On Friday 8 May, the Australian Government announced a three-step framework for easing COVID-19 restrictions, with states and territories easing restrictions at their own pace depending on the current public health situation and local epidemiology.</w:t>
      </w:r>
    </w:p>
    <w:p w14:paraId="7EBC720A" w14:textId="77777777" w:rsidR="007509EA" w:rsidRDefault="007509EA" w:rsidP="007509EA">
      <w:pPr>
        <w:pStyle w:val="CDIFigures"/>
        <w:sectPr w:rsidR="007509EA" w:rsidSect="00A30C37">
          <w:footnotePr>
            <w:numFmt w:val="lowerRoman"/>
          </w:footnotePr>
          <w:pgSz w:w="11906" w:h="16838"/>
          <w:pgMar w:top="720" w:right="720" w:bottom="1134" w:left="720" w:header="709" w:footer="284" w:gutter="0"/>
          <w:cols w:space="708"/>
          <w:titlePg/>
          <w:docGrid w:linePitch="360"/>
        </w:sectPr>
      </w:pPr>
    </w:p>
    <w:p w14:paraId="1E6FE80A" w14:textId="77777777" w:rsidR="00FE4DEF" w:rsidRDefault="00FE4DEF" w:rsidP="007509EA">
      <w:pPr>
        <w:pStyle w:val="CDIFigures"/>
      </w:pPr>
      <w:r>
        <w:lastRenderedPageBreak/>
        <w:t>Figure 12. COVID-19 notifications in Australia by week of diagnosis and jurisdiction to 30 August 2020 with timing of key public health measures</w:t>
      </w:r>
    </w:p>
    <w:p w14:paraId="46258B98" w14:textId="77777777" w:rsidR="00FE4DEF" w:rsidRDefault="00FE4DEF">
      <w:pPr>
        <w:rPr>
          <w:rFonts w:eastAsia="Times New Roman"/>
        </w:rPr>
      </w:pPr>
      <w:r>
        <w:rPr>
          <w:rFonts w:eastAsia="Times New Roman"/>
          <w:noProof/>
        </w:rPr>
        <w:drawing>
          <wp:inline distT="0" distB="0" distL="0" distR="0" wp14:anchorId="3FF9E7A8" wp14:editId="4A409F19">
            <wp:extent cx="9153163" cy="5702820"/>
            <wp:effectExtent l="0" t="0" r="0" b="0"/>
            <wp:docPr id="12" name="Picture 12" descr="Bar chart showing COVID-19 notifications by week of diagnosis and jurisdiction, for cases reported to NNDSS. Notifications for the cases shown have diagnosis weeks ending from 19 January 2020 to 30 August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2020\63-COVID-19 report 24\MS-Word output\figures_and_tables-web-resources\image\f12.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153163" cy="5702820"/>
                    </a:xfrm>
                    <a:prstGeom prst="rect">
                      <a:avLst/>
                    </a:prstGeom>
                  </pic:spPr>
                </pic:pic>
              </a:graphicData>
            </a:graphic>
          </wp:inline>
        </w:drawing>
      </w:r>
    </w:p>
    <w:p w14:paraId="29691665" w14:textId="77777777" w:rsidR="007509EA" w:rsidRDefault="007509EA" w:rsidP="0008158F">
      <w:pPr>
        <w:sectPr w:rsidR="007509EA" w:rsidSect="007509EA">
          <w:footnotePr>
            <w:numFmt w:val="lowerRoman"/>
          </w:footnotePr>
          <w:pgSz w:w="16838" w:h="11906" w:orient="landscape"/>
          <w:pgMar w:top="720" w:right="720" w:bottom="720" w:left="1134" w:header="709" w:footer="284" w:gutter="0"/>
          <w:cols w:space="708"/>
          <w:titlePg/>
          <w:docGrid w:linePitch="360"/>
        </w:sectPr>
      </w:pPr>
    </w:p>
    <w:p w14:paraId="3F8CE1CE" w14:textId="77777777" w:rsidR="00FE4DEF" w:rsidRDefault="00FE4DEF" w:rsidP="0008158F">
      <w:r>
        <w:lastRenderedPageBreak/>
        <w:t>During the previous reporting period, South Australia re-implemented some restrictions on private gatherings,</w:t>
      </w:r>
      <w:r>
        <w:rPr>
          <w:vertAlign w:val="superscript"/>
        </w:rPr>
        <w:t>17</w:t>
      </w:r>
      <w:r>
        <w:t xml:space="preserve"> and several states strengthened domestic border restrictions (Queensland, South Australia, Tasmania).</w:t>
      </w:r>
      <w:r>
        <w:rPr>
          <w:vertAlign w:val="superscript"/>
        </w:rPr>
        <w:t>17–19</w:t>
      </w:r>
      <w:r>
        <w:t xml:space="preserve"> Conversely, the Australian Capital Territory commenced step 3 easing of restrictions.</w:t>
      </w:r>
      <w:r>
        <w:rPr>
          <w:vertAlign w:val="superscript"/>
        </w:rPr>
        <w:t>20,21</w:t>
      </w:r>
      <w:r>
        <w:t xml:space="preserve"> </w:t>
      </w:r>
    </w:p>
    <w:p w14:paraId="1ABF6FC2" w14:textId="77777777" w:rsidR="00FE4DEF" w:rsidRDefault="00FE4DEF" w:rsidP="0008158F">
      <w:r>
        <w:t>During the current reporting period (Table 8), in response to clusters of cases, Queensland implemented localised restrictions on visitors to Residential Aged Care Facilities and hospitals, and gatherings in households and public spaces.</w:t>
      </w:r>
      <w:r>
        <w:rPr>
          <w:vertAlign w:val="superscript"/>
        </w:rPr>
        <w:t>22</w:t>
      </w:r>
      <w:r>
        <w:t xml:space="preserve"> South Australia eased restrictions on gatherings and eased domestic border restrictions for border communities and transiting travellers.</w:t>
      </w:r>
      <w:r>
        <w:rPr>
          <w:vertAlign w:val="superscript"/>
        </w:rPr>
        <w:t>23</w:t>
      </w:r>
    </w:p>
    <w:p w14:paraId="3D2F29BD" w14:textId="77777777" w:rsidR="00FE4DEF" w:rsidRDefault="00FE4DEF" w:rsidP="0008158F">
      <w:pPr>
        <w:pStyle w:val="CDIFigures"/>
      </w:pPr>
      <w:r>
        <w:t xml:space="preserve">Table 8. State and territory changes to COVID-19 restrictions, from 3 August to 30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reporting fortnight, for Australian states and territories.&#10;"/>
      </w:tblPr>
      <w:tblGrid>
        <w:gridCol w:w="2022"/>
        <w:gridCol w:w="8444"/>
      </w:tblGrid>
      <w:tr w:rsidR="00660932" w:rsidRPr="00660932" w14:paraId="377985C9" w14:textId="77777777" w:rsidTr="0066093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560FD58" w14:textId="77777777" w:rsidR="00FE4DEF" w:rsidRPr="00660932" w:rsidRDefault="00FE4DEF">
            <w:pPr>
              <w:pStyle w:val="NormalWeb"/>
              <w:rPr>
                <w:color w:val="FFFFFF" w:themeColor="background1"/>
              </w:rPr>
            </w:pPr>
            <w:r w:rsidRPr="00660932">
              <w:rPr>
                <w:color w:val="FFFFFF" w:themeColor="background1"/>
              </w:rPr>
              <w:t>Jurisdiction</w:t>
            </w:r>
          </w:p>
        </w:tc>
        <w:tc>
          <w:tcPr>
            <w:tcW w:w="0" w:type="auto"/>
            <w:hideMark/>
          </w:tcPr>
          <w:p w14:paraId="04E3EFF7" w14:textId="77777777" w:rsidR="00FE4DEF" w:rsidRPr="00660932" w:rsidRDefault="00FE4DEF">
            <w:pPr>
              <w:pStyle w:val="NormalWeb"/>
              <w:rPr>
                <w:color w:val="FFFFFF" w:themeColor="background1"/>
              </w:rPr>
            </w:pPr>
            <w:r w:rsidRPr="00660932">
              <w:rPr>
                <w:color w:val="FFFFFF" w:themeColor="background1"/>
              </w:rPr>
              <w:t>Summary of changes to COVID-19 restrictions</w:t>
            </w:r>
          </w:p>
        </w:tc>
      </w:tr>
      <w:tr w:rsidR="00FE4DEF" w14:paraId="029EDAAD" w14:textId="77777777" w:rsidTr="0019775D">
        <w:tc>
          <w:tcPr>
            <w:tcW w:w="0" w:type="auto"/>
            <w:hideMark/>
          </w:tcPr>
          <w:p w14:paraId="4C0E4C8E" w14:textId="77777777" w:rsidR="00FE4DEF" w:rsidRDefault="00FE4DEF">
            <w:pPr>
              <w:pStyle w:val="NormalWeb"/>
            </w:pPr>
            <w:r>
              <w:t>New South Wales</w:t>
            </w:r>
          </w:p>
        </w:tc>
        <w:tc>
          <w:tcPr>
            <w:tcW w:w="0" w:type="auto"/>
            <w:hideMark/>
          </w:tcPr>
          <w:p w14:paraId="5B9BC9F0" w14:textId="77777777" w:rsidR="00FE4DEF" w:rsidRDefault="00FE4DEF">
            <w:pPr>
              <w:pStyle w:val="NormalWeb"/>
            </w:pPr>
            <w:r>
              <w:t>No changes to restrictions during this reporting period.</w:t>
            </w:r>
            <w:r w:rsidRPr="00683A1A">
              <w:rPr>
                <w:vertAlign w:val="superscript"/>
              </w:rPr>
              <w:t>24</w:t>
            </w:r>
          </w:p>
        </w:tc>
      </w:tr>
      <w:tr w:rsidR="00FE4DEF" w14:paraId="5BA484DD"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2337D433" w14:textId="77777777" w:rsidR="00FE4DEF" w:rsidRDefault="00FE4DEF">
            <w:pPr>
              <w:pStyle w:val="NormalWeb"/>
            </w:pPr>
            <w:r>
              <w:t>Victoria</w:t>
            </w:r>
          </w:p>
        </w:tc>
        <w:tc>
          <w:tcPr>
            <w:tcW w:w="0" w:type="auto"/>
            <w:hideMark/>
          </w:tcPr>
          <w:p w14:paraId="2FD46898" w14:textId="77777777" w:rsidR="00FE4DEF" w:rsidRDefault="00FE4DEF">
            <w:pPr>
              <w:pStyle w:val="NormalWeb"/>
            </w:pPr>
            <w:r>
              <w:t>From 5 August the following restrictions were implemented:</w:t>
            </w:r>
            <w:r w:rsidRPr="00683A1A">
              <w:rPr>
                <w:vertAlign w:val="superscript"/>
              </w:rPr>
              <w:t>25</w:t>
            </w:r>
          </w:p>
          <w:p w14:paraId="02BD6551" w14:textId="77777777" w:rsidR="00FE4DEF" w:rsidRDefault="00FE4DEF">
            <w:pPr>
              <w:pStyle w:val="NormalWeb"/>
            </w:pPr>
            <w:r>
              <w:t>Stage 3 stay at home restrictions apply across regional Victoria</w:t>
            </w:r>
          </w:p>
          <w:p w14:paraId="36E47C97" w14:textId="77777777" w:rsidR="00FE4DEF" w:rsidRDefault="00FE4DEF">
            <w:pPr>
              <w:pStyle w:val="NormalWeb"/>
            </w:pPr>
            <w:r>
              <w:t>Business restrictions implemented across metropolitan Melbourne including requirements for high-risk industries</w:t>
            </w:r>
          </w:p>
          <w:p w14:paraId="768C6E1E" w14:textId="77777777" w:rsidR="00FE4DEF" w:rsidRDefault="00FE4DEF">
            <w:pPr>
              <w:pStyle w:val="NormalWeb"/>
            </w:pPr>
            <w:r>
              <w:t>Worker permits required for employees working on work sites</w:t>
            </w:r>
          </w:p>
          <w:p w14:paraId="04696DC3" w14:textId="77777777" w:rsidR="00FE4DEF" w:rsidRDefault="00FE4DEF">
            <w:pPr>
              <w:pStyle w:val="NormalWeb"/>
            </w:pPr>
            <w:r>
              <w:t xml:space="preserve">From 7 August all services and industries operating required to have a </w:t>
            </w:r>
            <w:proofErr w:type="spellStart"/>
            <w:r>
              <w:t>COVIDSafe</w:t>
            </w:r>
            <w:proofErr w:type="spellEnd"/>
            <w:r>
              <w:t xml:space="preserve"> Plan.</w:t>
            </w:r>
          </w:p>
        </w:tc>
      </w:tr>
      <w:tr w:rsidR="00FE4DEF" w14:paraId="023B4B8F" w14:textId="77777777" w:rsidTr="0019775D">
        <w:tc>
          <w:tcPr>
            <w:tcW w:w="0" w:type="auto"/>
            <w:hideMark/>
          </w:tcPr>
          <w:p w14:paraId="518A06DF" w14:textId="77777777" w:rsidR="00FE4DEF" w:rsidRDefault="00FE4DEF">
            <w:pPr>
              <w:pStyle w:val="NormalWeb"/>
            </w:pPr>
            <w:r>
              <w:t>Queensland</w:t>
            </w:r>
          </w:p>
        </w:tc>
        <w:tc>
          <w:tcPr>
            <w:tcW w:w="0" w:type="auto"/>
            <w:hideMark/>
          </w:tcPr>
          <w:p w14:paraId="37368B21" w14:textId="77777777" w:rsidR="00FE4DEF" w:rsidRDefault="00FE4DEF">
            <w:pPr>
              <w:pStyle w:val="NormalWeb"/>
            </w:pPr>
            <w:r>
              <w:t>From 2 August the following restrictions were implemented:</w:t>
            </w:r>
            <w:r w:rsidRPr="00683A1A">
              <w:rPr>
                <w:vertAlign w:val="superscript"/>
              </w:rPr>
              <w:t>18</w:t>
            </w:r>
          </w:p>
          <w:p w14:paraId="42843CF7" w14:textId="77777777" w:rsidR="00FE4DEF" w:rsidRDefault="00FE4DEF">
            <w:pPr>
              <w:pStyle w:val="NormalWeb"/>
            </w:pPr>
            <w:r>
              <w:t>Enhanced border measures</w:t>
            </w:r>
          </w:p>
          <w:p w14:paraId="6623B09C" w14:textId="77777777" w:rsidR="00FE4DEF" w:rsidRDefault="00FE4DEF">
            <w:pPr>
              <w:pStyle w:val="NormalWeb"/>
            </w:pPr>
            <w:r>
              <w:t>Restrictions on visitors to aged care and hospitals in local government areas with clusters (further areas added on 22 August)</w:t>
            </w:r>
          </w:p>
        </w:tc>
      </w:tr>
      <w:tr w:rsidR="00FE4DEF" w14:paraId="76FAA894"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37CE5C3B" w14:textId="77777777" w:rsidR="00FE4DEF" w:rsidRDefault="00FE4DEF">
            <w:pPr>
              <w:pStyle w:val="NormalWeb"/>
            </w:pPr>
            <w:r>
              <w:t>Western Australia</w:t>
            </w:r>
          </w:p>
        </w:tc>
        <w:tc>
          <w:tcPr>
            <w:tcW w:w="0" w:type="auto"/>
            <w:hideMark/>
          </w:tcPr>
          <w:p w14:paraId="02B50E85" w14:textId="77777777" w:rsidR="00FE4DEF" w:rsidRDefault="00FE4DEF">
            <w:pPr>
              <w:pStyle w:val="NormalWeb"/>
            </w:pPr>
            <w:r>
              <w:t>No further easing of restrictions has occurred during this reporting period.</w:t>
            </w:r>
            <w:r w:rsidRPr="00683A1A">
              <w:rPr>
                <w:vertAlign w:val="superscript"/>
              </w:rPr>
              <w:t>26</w:t>
            </w:r>
          </w:p>
        </w:tc>
      </w:tr>
      <w:tr w:rsidR="00FE4DEF" w14:paraId="26FD7F64" w14:textId="77777777" w:rsidTr="0019775D">
        <w:tc>
          <w:tcPr>
            <w:tcW w:w="0" w:type="auto"/>
            <w:hideMark/>
          </w:tcPr>
          <w:p w14:paraId="092232AD" w14:textId="77777777" w:rsidR="00FE4DEF" w:rsidRDefault="00FE4DEF">
            <w:pPr>
              <w:pStyle w:val="NormalWeb"/>
            </w:pPr>
            <w:r>
              <w:t>South Australia</w:t>
            </w:r>
          </w:p>
        </w:tc>
        <w:tc>
          <w:tcPr>
            <w:tcW w:w="0" w:type="auto"/>
            <w:hideMark/>
          </w:tcPr>
          <w:p w14:paraId="7FFED975" w14:textId="77777777" w:rsidR="00FE4DEF" w:rsidRDefault="00FE4DEF">
            <w:pPr>
              <w:pStyle w:val="NormalWeb"/>
            </w:pPr>
            <w:r>
              <w:t>From 5 August the following restrictions were implemented:</w:t>
            </w:r>
            <w:r w:rsidRPr="00683A1A">
              <w:rPr>
                <w:vertAlign w:val="superscript"/>
              </w:rPr>
              <w:t>17</w:t>
            </w:r>
          </w:p>
          <w:p w14:paraId="6EE949B3" w14:textId="77777777" w:rsidR="00FE4DEF" w:rsidRDefault="00FE4DEF">
            <w:pPr>
              <w:pStyle w:val="NormalWeb"/>
            </w:pPr>
            <w:r>
              <w:t>A cap of 10 people for gatherings in private homes</w:t>
            </w:r>
          </w:p>
          <w:p w14:paraId="06BD3CF6" w14:textId="77777777" w:rsidR="00FE4DEF" w:rsidRDefault="00FE4DEF">
            <w:pPr>
              <w:pStyle w:val="NormalWeb"/>
            </w:pPr>
            <w:r>
              <w:t>Food and beverages (including alcohol) are only consumed by patrons while seated at tables, away from any bar or ordering area</w:t>
            </w:r>
          </w:p>
          <w:p w14:paraId="24D85042" w14:textId="77777777" w:rsidR="00FE4DEF" w:rsidRDefault="00FE4DEF">
            <w:pPr>
              <w:pStyle w:val="NormalWeb"/>
            </w:pPr>
            <w:r>
              <w:t>From 14 August the following restrictions were adjusted:</w:t>
            </w:r>
          </w:p>
          <w:p w14:paraId="198BB1DF" w14:textId="77777777" w:rsidR="00FE4DEF" w:rsidRDefault="00FE4DEF">
            <w:pPr>
              <w:pStyle w:val="NormalWeb"/>
            </w:pPr>
            <w:r>
              <w:t>A cap of 20 people for gatherings in private homes (up to 10 guests)</w:t>
            </w:r>
          </w:p>
          <w:p w14:paraId="1F336CD7" w14:textId="77777777" w:rsidR="00FE4DEF" w:rsidRDefault="00FE4DEF">
            <w:pPr>
              <w:pStyle w:val="NormalWeb"/>
            </w:pPr>
            <w:r>
              <w:t>Private gatherings (other than private residence) restricted to 100 people</w:t>
            </w:r>
          </w:p>
          <w:p w14:paraId="12E329C2" w14:textId="77777777" w:rsidR="00FE4DEF" w:rsidRDefault="00FE4DEF">
            <w:pPr>
              <w:pStyle w:val="NormalWeb"/>
            </w:pPr>
            <w:r>
              <w:t>From 28 August the following restrictions were eased:</w:t>
            </w:r>
          </w:p>
          <w:p w14:paraId="2FC5AD0D" w14:textId="77777777" w:rsidR="00FE4DEF" w:rsidRDefault="00FE4DEF">
            <w:pPr>
              <w:pStyle w:val="NormalWeb"/>
            </w:pPr>
            <w:r>
              <w:t>Up to 50 people permitted in private homes</w:t>
            </w:r>
          </w:p>
          <w:p w14:paraId="4D8CA0B1" w14:textId="77777777" w:rsidR="00FE4DEF" w:rsidRDefault="00FE4DEF">
            <w:pPr>
              <w:pStyle w:val="NormalWeb"/>
            </w:pPr>
            <w:r>
              <w:t>Border restrictions eased for border communities and transiting passengers</w:t>
            </w:r>
          </w:p>
        </w:tc>
      </w:tr>
      <w:tr w:rsidR="00FE4DEF" w14:paraId="51EDBA46"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660CF80B" w14:textId="77777777" w:rsidR="00FE4DEF" w:rsidRDefault="00FE4DEF">
            <w:pPr>
              <w:pStyle w:val="NormalWeb"/>
            </w:pPr>
            <w:r>
              <w:t>Tasmania</w:t>
            </w:r>
          </w:p>
        </w:tc>
        <w:tc>
          <w:tcPr>
            <w:tcW w:w="0" w:type="auto"/>
            <w:hideMark/>
          </w:tcPr>
          <w:p w14:paraId="1A949A3C" w14:textId="77777777" w:rsidR="00FE4DEF" w:rsidRDefault="00FE4DEF">
            <w:pPr>
              <w:pStyle w:val="NormalWeb"/>
            </w:pPr>
            <w:r>
              <w:t>No further easing of restrictions has occurred during this reporting period.</w:t>
            </w:r>
            <w:r w:rsidRPr="00683A1A">
              <w:rPr>
                <w:vertAlign w:val="superscript"/>
              </w:rPr>
              <w:t>19</w:t>
            </w:r>
          </w:p>
        </w:tc>
      </w:tr>
      <w:tr w:rsidR="00FE4DEF" w14:paraId="75F1497F" w14:textId="77777777" w:rsidTr="0019775D">
        <w:tc>
          <w:tcPr>
            <w:tcW w:w="0" w:type="auto"/>
            <w:hideMark/>
          </w:tcPr>
          <w:p w14:paraId="280FFE66" w14:textId="77777777" w:rsidR="00FE4DEF" w:rsidRDefault="00FE4DEF">
            <w:pPr>
              <w:pStyle w:val="NormalWeb"/>
            </w:pPr>
            <w:r>
              <w:t>Australian Capital Territory</w:t>
            </w:r>
          </w:p>
        </w:tc>
        <w:tc>
          <w:tcPr>
            <w:tcW w:w="0" w:type="auto"/>
            <w:hideMark/>
          </w:tcPr>
          <w:p w14:paraId="089F6946" w14:textId="77777777" w:rsidR="00FE4DEF" w:rsidRDefault="00FE4DEF">
            <w:pPr>
              <w:pStyle w:val="NormalWeb"/>
            </w:pPr>
            <w:r>
              <w:t>From 10 August the following restrictions were eased:</w:t>
            </w:r>
            <w:r w:rsidRPr="00683A1A">
              <w:rPr>
                <w:vertAlign w:val="superscript"/>
              </w:rPr>
              <w:t>20,21</w:t>
            </w:r>
          </w:p>
          <w:p w14:paraId="66964A37" w14:textId="77777777" w:rsidR="00FE4DEF" w:rsidRDefault="00FE4DEF">
            <w:pPr>
              <w:pStyle w:val="NormalWeb"/>
            </w:pPr>
            <w:r>
              <w:t>Gatherings of up to 100 people permitted indoors and outdoors (1 person per 4 square metres)</w:t>
            </w:r>
          </w:p>
          <w:p w14:paraId="2EAA0B21" w14:textId="77777777" w:rsidR="00FE4DEF" w:rsidRDefault="00FE4DEF">
            <w:pPr>
              <w:pStyle w:val="NormalWeb"/>
            </w:pPr>
            <w:r>
              <w:t>Additional businesses permitted to reopen including casinos, food-courts, steam-based services, brothels and strip clubs, and 24 hour gyms.</w:t>
            </w:r>
          </w:p>
          <w:p w14:paraId="4C79C116" w14:textId="77777777" w:rsidR="00FE4DEF" w:rsidRDefault="00FE4DEF">
            <w:pPr>
              <w:pStyle w:val="NormalWeb"/>
            </w:pPr>
            <w:r>
              <w:lastRenderedPageBreak/>
              <w:t>Businesses, venues and facilities which reopen require to have a COVID Safety Plan</w:t>
            </w:r>
          </w:p>
        </w:tc>
      </w:tr>
      <w:tr w:rsidR="00FE4DEF" w14:paraId="5733B3AD" w14:textId="77777777" w:rsidTr="0019775D">
        <w:trPr>
          <w:cnfStyle w:val="000000010000" w:firstRow="0" w:lastRow="0" w:firstColumn="0" w:lastColumn="0" w:oddVBand="0" w:evenVBand="0" w:oddHBand="0" w:evenHBand="1" w:firstRowFirstColumn="0" w:firstRowLastColumn="0" w:lastRowFirstColumn="0" w:lastRowLastColumn="0"/>
        </w:trPr>
        <w:tc>
          <w:tcPr>
            <w:tcW w:w="0" w:type="auto"/>
            <w:hideMark/>
          </w:tcPr>
          <w:p w14:paraId="449D8B8A" w14:textId="77777777" w:rsidR="00FE4DEF" w:rsidRDefault="00FE4DEF">
            <w:pPr>
              <w:pStyle w:val="NormalWeb"/>
            </w:pPr>
            <w:r>
              <w:lastRenderedPageBreak/>
              <w:t>Northern Territory</w:t>
            </w:r>
          </w:p>
        </w:tc>
        <w:tc>
          <w:tcPr>
            <w:tcW w:w="0" w:type="auto"/>
            <w:hideMark/>
          </w:tcPr>
          <w:p w14:paraId="6AFF1774" w14:textId="77777777" w:rsidR="00FE4DEF" w:rsidRDefault="00FE4DEF">
            <w:pPr>
              <w:pStyle w:val="NormalWeb"/>
            </w:pPr>
            <w:r>
              <w:t>No further easing of restrictions has occurred during this reporting period.</w:t>
            </w:r>
            <w:r w:rsidRPr="00683A1A">
              <w:rPr>
                <w:vertAlign w:val="superscript"/>
              </w:rPr>
              <w:t>27</w:t>
            </w:r>
          </w:p>
        </w:tc>
      </w:tr>
    </w:tbl>
    <w:p w14:paraId="7580DB78" w14:textId="77777777" w:rsidR="00FE4DEF" w:rsidRPr="0008158F" w:rsidRDefault="00FE4DEF" w:rsidP="0008158F">
      <w:pPr>
        <w:pStyle w:val="Heading1"/>
      </w:pPr>
      <w:r w:rsidRPr="0008158F">
        <w:t xml:space="preserve">International situation </w:t>
      </w:r>
    </w:p>
    <w:p w14:paraId="6B7092D0" w14:textId="77777777" w:rsidR="00FE4DEF" w:rsidRDefault="00FE4DEF" w:rsidP="0008158F">
      <w:r>
        <w:t>On 30 August 2020, more than 216 countries, regions and areas had reported 24,854,748 COVID-19 cases and 838,926 deaths to the World Health Organization (WHO).</w:t>
      </w:r>
      <w:r>
        <w:rPr>
          <w:vertAlign w:val="superscript"/>
        </w:rPr>
        <w:t>28</w:t>
      </w:r>
      <w:r>
        <w:t xml:space="preserve"> All data reported below are drawn from the WHO Dashboard extracted on 31 August 2020 unless otherwise specified. The Americas and Europe continue to be the epicentres of the pandemic with the former representing approximately 53% of cumulative cases and 55% of cumulative deaths, and the latter representing 17% of cases and 26% of deaths. The global case fatality rate (CFR) is approximately 3.4% and is decreasing as case identification improves. The global cumulative per capita rates are 323.6 cases and 10.9 deaths per 100,000 population. </w:t>
      </w:r>
    </w:p>
    <w:p w14:paraId="58BD1818" w14:textId="77777777" w:rsidR="00FE4DEF" w:rsidRPr="0008158F" w:rsidRDefault="00FE4DEF" w:rsidP="0008158F">
      <w:pPr>
        <w:pStyle w:val="ListParagraph"/>
        <w:numPr>
          <w:ilvl w:val="0"/>
          <w:numId w:val="12"/>
        </w:numPr>
        <w:rPr>
          <w:rFonts w:eastAsia="Times New Roman"/>
        </w:rPr>
      </w:pPr>
      <w:r w:rsidRPr="0008158F">
        <w:rPr>
          <w:rFonts w:eastAsia="Times New Roman"/>
        </w:rPr>
        <w:t xml:space="preserve">By country, the largest numbers of cases are from: the United States of America (5,855,521); Brazil (3,804,803); and India (3,542,733). </w:t>
      </w:r>
    </w:p>
    <w:p w14:paraId="69522529" w14:textId="77777777" w:rsidR="00FE4DEF" w:rsidRPr="0008158F" w:rsidRDefault="00FE4DEF" w:rsidP="0008158F">
      <w:pPr>
        <w:pStyle w:val="ListParagraph"/>
        <w:numPr>
          <w:ilvl w:val="0"/>
          <w:numId w:val="12"/>
        </w:numPr>
        <w:rPr>
          <w:rFonts w:eastAsia="Times New Roman"/>
        </w:rPr>
      </w:pPr>
      <w:r w:rsidRPr="0008158F">
        <w:rPr>
          <w:rFonts w:eastAsia="Times New Roman"/>
        </w:rPr>
        <w:t xml:space="preserve">By country, the largest numbers of deaths are from: the United States of America (180,689); Brazil (119,504); and India (64,498). </w:t>
      </w:r>
    </w:p>
    <w:p w14:paraId="0F688AF0" w14:textId="77777777" w:rsidR="00FE4DEF" w:rsidRDefault="00FE4DEF" w:rsidP="0008158F">
      <w:r>
        <w:t xml:space="preserve">In the previous fortnight the regions reporting the largest numbers of new cases were the Americas (49%, a decrease from 54%) and South East Asia (29%, in increase from 25%), led predominantly by the countries highlighted above, indicating that South East Asia’s burden of global cases is increasing. </w:t>
      </w:r>
    </w:p>
    <w:p w14:paraId="38A6C206" w14:textId="77777777" w:rsidR="00FE4DEF" w:rsidRPr="0008158F" w:rsidRDefault="00FE4DEF" w:rsidP="0008158F">
      <w:pPr>
        <w:pStyle w:val="Heading2"/>
      </w:pPr>
      <w:r w:rsidRPr="0008158F">
        <w:t xml:space="preserve">Western Pacific Region </w:t>
      </w:r>
    </w:p>
    <w:p w14:paraId="706E39CB" w14:textId="77777777" w:rsidR="00FE4DEF" w:rsidRDefault="00FE4DEF" w:rsidP="0008158F">
      <w:r>
        <w:t xml:space="preserve">To date, the Western Pacific Region remains the least-affected region globally, reporting the lowest number of COVID-19 cases and deaths relative to other regions. The cumulative number of cases in the region stands at 487,571, with 77,982 new cases reported in the previous fortnight (a 14% decrease). This represents 2.2% of the global total number of new cases in this reporting period. Cumulatively, the Western Pacific region accounts for 2% of all cases globally and 1.3% of all deaths. The region reports a cumulative rate of 25.7 cases per 100,000 people (compared to 323.5 cases per 100,000 globally) and a mortality rate of 0.6 deaths per 100,000 population (compared to 10.9 deaths per 100,000 globally). </w:t>
      </w:r>
    </w:p>
    <w:p w14:paraId="4FAC03E0" w14:textId="77777777" w:rsidR="00FE4DEF" w:rsidRDefault="00FE4DEF" w:rsidP="0008158F">
      <w:r>
        <w:t>The highest numbers of overall cases in the region have been observed in the Philippines, China and Japan (Figure 13). In the past fortnight the highest number of new cases has been observed in the Philippines, representing 71% of new regional cases. Cambodia, Fiji, New Caledonia and Lao People’s Democratic Republic did not report any new cases in this reporting period.</w:t>
      </w:r>
    </w:p>
    <w:p w14:paraId="151D8E35" w14:textId="77777777" w:rsidR="007509EA" w:rsidRDefault="007509EA" w:rsidP="007509EA">
      <w:pPr>
        <w:pStyle w:val="CDIFigures"/>
        <w:sectPr w:rsidR="007509EA" w:rsidSect="00A30C37">
          <w:footnotePr>
            <w:numFmt w:val="lowerRoman"/>
          </w:footnotePr>
          <w:pgSz w:w="11906" w:h="16838"/>
          <w:pgMar w:top="720" w:right="720" w:bottom="1134" w:left="720" w:header="709" w:footer="284" w:gutter="0"/>
          <w:cols w:space="708"/>
          <w:titlePg/>
          <w:docGrid w:linePitch="360"/>
        </w:sectPr>
      </w:pPr>
    </w:p>
    <w:p w14:paraId="29E534F6" w14:textId="77777777" w:rsidR="00FE4DEF" w:rsidRDefault="00FE4DEF" w:rsidP="007509EA">
      <w:pPr>
        <w:pStyle w:val="CDIFigures"/>
      </w:pPr>
      <w:r>
        <w:lastRenderedPageBreak/>
        <w:t>Figure 13. Number of COVID-19 cases (logarithmic scale) by selected country and days since passing 100 cases, up to 30 August 2020</w:t>
      </w:r>
    </w:p>
    <w:p w14:paraId="592D9390" w14:textId="77777777" w:rsidR="00FE4DEF" w:rsidRDefault="00FE4DEF">
      <w:pPr>
        <w:rPr>
          <w:rFonts w:eastAsia="Times New Roman"/>
        </w:rPr>
      </w:pPr>
      <w:r>
        <w:rPr>
          <w:rFonts w:eastAsia="Times New Roman"/>
          <w:noProof/>
        </w:rPr>
        <w:drawing>
          <wp:inline distT="0" distB="0" distL="0" distR="0" wp14:anchorId="3075CBC1" wp14:editId="2C246164">
            <wp:extent cx="6224029" cy="3974600"/>
            <wp:effectExtent l="0" t="0" r="5715" b="6985"/>
            <wp:docPr id="13" name="Picture 13" descr="Line graph comparing the growth in number of COVID-19 cases, from the ‘starting point’ of 100 cases in each country, for Australia and several other countries in the Western Pacific and South East Asia Regions (Bangladesh, China, India, Indonesia, Japan, Myanmar, New Zealand, Papua New Guinea, the Philippines). The highest sustained growth in cases among these countries has occurred in India, though recent growth in Bangladesh, Indonesia and the Philippines is also high. While case numbers in Australia are currently in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2020\63-COVID-19 report 24\MS-Word output\figures_and_tables-web-resources\image\f13.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224029" cy="3974600"/>
                    </a:xfrm>
                    <a:prstGeom prst="rect">
                      <a:avLst/>
                    </a:prstGeom>
                  </pic:spPr>
                </pic:pic>
              </a:graphicData>
            </a:graphic>
          </wp:inline>
        </w:drawing>
      </w:r>
    </w:p>
    <w:p w14:paraId="4482DF1E" w14:textId="77777777" w:rsidR="00FE4DEF" w:rsidRDefault="00FE4DEF" w:rsidP="0008158F">
      <w:r>
        <w:t>In New Zealand, the ‘Auckland August Cluster’ is the only remaining locally-acquired cluster, accounting for most of New Zealand’s 107 new cases in the past fortnight. By 31 August 2020, the cluster was linked to a total of 141 cases.</w:t>
      </w:r>
      <w:r>
        <w:rPr>
          <w:vertAlign w:val="superscript"/>
        </w:rPr>
        <w:t>29</w:t>
      </w:r>
      <w:r>
        <w:t xml:space="preserve"> Auckland returned to Alert Level 2 on 30 August 2020, joining the rest of New Zealand.</w:t>
      </w:r>
      <w:r>
        <w:rPr>
          <w:vertAlign w:val="superscript"/>
        </w:rPr>
        <w:t>30</w:t>
      </w:r>
      <w:r>
        <w:t xml:space="preserve"> Alert Level 2 will remain in place until at least 6 September 2020. </w:t>
      </w:r>
    </w:p>
    <w:p w14:paraId="6BB659A3" w14:textId="77777777" w:rsidR="00FE4DEF" w:rsidRDefault="00FE4DEF" w:rsidP="0008158F">
      <w:r>
        <w:t>In Papua New Guinea, as of 30 August 2020 the nation had reported 459 cases and 5 deaths. In the previous fortnight 184 new cases were reported, a 13% decrease from the previous reporting period. The majority of cases were reported from Western Province and are linked to a large local cluster at a mining site.</w:t>
      </w:r>
      <w:r>
        <w:rPr>
          <w:vertAlign w:val="superscript"/>
        </w:rPr>
        <w:t xml:space="preserve">31 </w:t>
      </w:r>
    </w:p>
    <w:p w14:paraId="4D99B6F4" w14:textId="77777777" w:rsidR="00FE4DEF" w:rsidRPr="0008158F" w:rsidRDefault="00FE4DEF" w:rsidP="0008158F">
      <w:pPr>
        <w:pStyle w:val="Heading2"/>
      </w:pPr>
      <w:r w:rsidRPr="0008158F">
        <w:t xml:space="preserve">South East Asia Region </w:t>
      </w:r>
    </w:p>
    <w:p w14:paraId="1D0C887B" w14:textId="77777777" w:rsidR="00FE4DEF" w:rsidRDefault="00FE4DEF" w:rsidP="0008158F">
      <w:r>
        <w:t xml:space="preserve">In the past fortnight, the South East Asia region has seen a large increase in new case numbers. Cumulatively the region has reported approximately 4.07 million cases and 75,276 deaths, with 1,032,980 cases reported in the last fortnight (a 37% increase). The region accounts for 16.4% of global cumulative cases and 8.9% of global cumulative deaths. Regionally, the per capita burden of disease is increasing, with the cumulative case rate now at 204 cases (increased from 148.9 cases) and 3.8 deaths (increased from 2.9 deaths) per 100,000 population in this reporting period. </w:t>
      </w:r>
    </w:p>
    <w:p w14:paraId="04DCA85C" w14:textId="77777777" w:rsidR="00FE4DEF" w:rsidRDefault="00FE4DEF" w:rsidP="0008158F">
      <w:r>
        <w:t xml:space="preserve">The majority of new cases in the South East Asia region remain largely concentrated in India where 953,051 new cases were reported, comprising 92% of new cases reported regionally in the previous fortnight (Figure 13). </w:t>
      </w:r>
    </w:p>
    <w:p w14:paraId="20338473" w14:textId="77777777" w:rsidR="00FE4DEF" w:rsidRDefault="00FE4DEF" w:rsidP="0008158F">
      <w:r>
        <w:t xml:space="preserve">The Republic of the Union of Myanmar reported its first case of local transmission in the </w:t>
      </w:r>
      <w:proofErr w:type="spellStart"/>
      <w:r>
        <w:t>Sittwe</w:t>
      </w:r>
      <w:proofErr w:type="spellEnd"/>
      <w:r>
        <w:t xml:space="preserve"> township of </w:t>
      </w:r>
      <w:proofErr w:type="spellStart"/>
      <w:r>
        <w:t>Rakhine</w:t>
      </w:r>
      <w:proofErr w:type="spellEnd"/>
      <w:r>
        <w:t xml:space="preserve"> State on 16 August (Figure 13). In the fortnight since, confirmed cases have doubled to 749, largely concentrated in </w:t>
      </w:r>
      <w:proofErr w:type="spellStart"/>
      <w:r>
        <w:t>Rakhine</w:t>
      </w:r>
      <w:proofErr w:type="spellEnd"/>
      <w:r>
        <w:t>, which has resulted in a widespread government response of community testing and extending preventative measures until 30 September.</w:t>
      </w:r>
      <w:r>
        <w:rPr>
          <w:vertAlign w:val="superscript"/>
        </w:rPr>
        <w:t>32</w:t>
      </w:r>
      <w:r>
        <w:t xml:space="preserve"> </w:t>
      </w:r>
    </w:p>
    <w:p w14:paraId="736CFE00" w14:textId="77777777" w:rsidR="00FE4DEF" w:rsidRDefault="00FE4DEF" w:rsidP="0008158F">
      <w:r>
        <w:lastRenderedPageBreak/>
        <w:t xml:space="preserve">Indonesia reported the highest case fatality rate of 4.3 deaths per 100,000 cases compared to 1.1 for the region. </w:t>
      </w:r>
    </w:p>
    <w:p w14:paraId="3759381E" w14:textId="77777777" w:rsidR="00FE4DEF" w:rsidRPr="0008158F" w:rsidRDefault="00FE4DEF" w:rsidP="0008158F">
      <w:pPr>
        <w:pStyle w:val="Heading1"/>
      </w:pPr>
      <w:r w:rsidRPr="0008158F">
        <w:t xml:space="preserve">Data considerations </w:t>
      </w:r>
    </w:p>
    <w:p w14:paraId="74CAA2F3" w14:textId="77777777" w:rsidR="00FE4DEF" w:rsidRDefault="00FE4DEF" w:rsidP="0008158F">
      <w:r>
        <w:t xml:space="preserve">Data were extracted from the NNDSS on 1 September 2020 for notifications received up to 30 August. Due to the dynamic nature of the NNDSS, numbers presented in this report are subject to revision and may vary from numbers previously reported and from case notifications released by states and territories. </w:t>
      </w:r>
    </w:p>
    <w:p w14:paraId="1CDA2C21" w14:textId="77777777" w:rsidR="00FE4DEF" w:rsidRPr="0008158F" w:rsidRDefault="00FE4DEF" w:rsidP="0008158F">
      <w:pPr>
        <w:pStyle w:val="Heading2"/>
      </w:pPr>
      <w:r w:rsidRPr="0008158F">
        <w:t xml:space="preserve">Definitions </w:t>
      </w:r>
    </w:p>
    <w:p w14:paraId="78DBBE88" w14:textId="77777777" w:rsidR="00FE4DEF" w:rsidRDefault="00FE4DEF" w:rsidP="0008158F">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212971BA" w14:textId="77777777" w:rsidR="00FE4DEF" w:rsidRDefault="00FE4DEF" w:rsidP="0008158F">
      <w:r>
        <w:rPr>
          <w:rStyle w:val="Strong"/>
        </w:rPr>
        <w:t xml:space="preserve">“COVID-19” </w:t>
      </w:r>
      <w:r>
        <w:t xml:space="preserve">is the disease caused by a novel coronavirus that emerged in China in late 2019. ‘CO’ stands for corona-, ‘V’ stands for virus, ‘ID’ stands for infectious disease, and ‘-19’ refers to the year that this disease was first reported. </w:t>
      </w:r>
    </w:p>
    <w:p w14:paraId="4DFCAC09" w14:textId="77777777" w:rsidR="00FE4DEF" w:rsidRDefault="00FE4DEF" w:rsidP="0008158F">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33</w:t>
      </w:r>
      <w:r>
        <w:t xml:space="preserve"> There should be no period of complete recovery from COVID-19 between illness and death. Where a Coroner’s report is available, these findings are to be observed. </w:t>
      </w:r>
    </w:p>
    <w:p w14:paraId="7160A956" w14:textId="77777777" w:rsidR="00FE4DEF" w:rsidRDefault="00FE4DEF" w:rsidP="0008158F">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244D40CE" w14:textId="77777777" w:rsidR="00FE4DEF" w:rsidRDefault="00FE4DEF" w:rsidP="0008158F">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42BBDC5A" w14:textId="77777777" w:rsidR="00FE4DEF" w:rsidRDefault="00FE4DEF" w:rsidP="0008158F">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3C014768" w14:textId="77777777" w:rsidR="00FE4DEF" w:rsidRDefault="00FE4DEF" w:rsidP="0008158F">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w:t>
      </w:r>
      <w:proofErr w:type="gramEnd"/>
      <w:r>
        <w:t xml:space="preserve"> acute respiratory syndrome coronavirus (SARS-</w:t>
      </w:r>
      <w:proofErr w:type="spellStart"/>
      <w:r>
        <w:t>CoV</w:t>
      </w:r>
      <w:proofErr w:type="spellEnd"/>
      <w:r>
        <w:t xml:space="preserve">). </w:t>
      </w:r>
    </w:p>
    <w:p w14:paraId="181D2B0A" w14:textId="77777777" w:rsidR="00FE4DEF" w:rsidRPr="0008158F" w:rsidRDefault="00FE4DEF" w:rsidP="0008158F">
      <w:pPr>
        <w:pStyle w:val="Heading1"/>
      </w:pPr>
      <w:r w:rsidRPr="0008158F">
        <w:t xml:space="preserve">Acknowledgements </w:t>
      </w:r>
    </w:p>
    <w:p w14:paraId="3208D256" w14:textId="77777777" w:rsidR="00FE4DEF" w:rsidRDefault="00FE4DEF" w:rsidP="0008158F">
      <w:r>
        <w:t xml:space="preserve">This report represents surveillance data reported through CDNA as part of the nationally-coordinated response to COVID-19. We thank public health staff from incident emergency </w:t>
      </w:r>
      <w:r>
        <w:lastRenderedPageBreak/>
        <w:t xml:space="preserve">operations centres in state and territory health departments, and the Australian Government Department of Health, along with state and territory public health laboratories. </w:t>
      </w:r>
    </w:p>
    <w:p w14:paraId="1779ED75" w14:textId="77777777" w:rsidR="00FE4DEF" w:rsidRPr="0008158F" w:rsidRDefault="00FE4DEF" w:rsidP="0008158F">
      <w:pPr>
        <w:pStyle w:val="Heading1"/>
      </w:pPr>
      <w:r w:rsidRPr="0008158F">
        <w:t xml:space="preserve">Author details </w:t>
      </w:r>
    </w:p>
    <w:p w14:paraId="3B976E88" w14:textId="77777777" w:rsidR="00FE4DEF" w:rsidRPr="0008158F" w:rsidRDefault="00FE4DEF" w:rsidP="0008158F">
      <w:pPr>
        <w:pStyle w:val="Heading2"/>
      </w:pPr>
      <w:r w:rsidRPr="0008158F">
        <w:t xml:space="preserve">Corresponding author </w:t>
      </w:r>
    </w:p>
    <w:p w14:paraId="3B7826C2" w14:textId="77777777" w:rsidR="00FE4DEF" w:rsidRDefault="00FE4DEF" w:rsidP="0008158F">
      <w:r>
        <w:t xml:space="preserve">COVID-19 National Incident Room Surveillance Team, Australian Government Department of Health, GPO Box 9484, MDP 14, Canberra, ACT 2601. Email: epi.coronavirus@health.gov.au </w:t>
      </w:r>
    </w:p>
    <w:p w14:paraId="0B73A1AB" w14:textId="77777777" w:rsidR="00FE4DEF" w:rsidRPr="0008158F" w:rsidRDefault="00FE4DEF" w:rsidP="0008158F">
      <w:pPr>
        <w:pStyle w:val="Heading1"/>
      </w:pPr>
      <w:r w:rsidRPr="0008158F">
        <w:t xml:space="preserve">References </w:t>
      </w:r>
    </w:p>
    <w:p w14:paraId="6E0DD1A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23308D7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18AF147A"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Rockett</w:t>
      </w:r>
      <w:proofErr w:type="spellEnd"/>
      <w:r w:rsidRPr="0008158F">
        <w:rPr>
          <w:rFonts w:eastAsia="Times New Roman"/>
        </w:rPr>
        <w:t xml:space="preserve"> RJ, Arnott A, Lam C, </w:t>
      </w:r>
      <w:proofErr w:type="spellStart"/>
      <w:r w:rsidRPr="0008158F">
        <w:rPr>
          <w:rFonts w:eastAsia="Times New Roman"/>
        </w:rPr>
        <w:t>Sadsad</w:t>
      </w:r>
      <w:proofErr w:type="spellEnd"/>
      <w:r w:rsidRPr="0008158F">
        <w:rPr>
          <w:rFonts w:eastAsia="Times New Roman"/>
        </w:rPr>
        <w:t xml:space="preserve"> R, </w:t>
      </w:r>
      <w:proofErr w:type="spellStart"/>
      <w:r w:rsidRPr="0008158F">
        <w:rPr>
          <w:rFonts w:eastAsia="Times New Roman"/>
        </w:rPr>
        <w:t>Timms</w:t>
      </w:r>
      <w:proofErr w:type="spellEnd"/>
      <w:r w:rsidRPr="0008158F">
        <w:rPr>
          <w:rFonts w:eastAsia="Times New Roman"/>
        </w:rPr>
        <w:t xml:space="preserve"> V, </w:t>
      </w:r>
      <w:proofErr w:type="spellStart"/>
      <w:r w:rsidRPr="0008158F">
        <w:rPr>
          <w:rFonts w:eastAsia="Times New Roman"/>
        </w:rPr>
        <w:t>Gray</w:t>
      </w:r>
      <w:proofErr w:type="spellEnd"/>
      <w:r w:rsidRPr="0008158F">
        <w:rPr>
          <w:rFonts w:eastAsia="Times New Roman"/>
        </w:rPr>
        <w:t xml:space="preserve"> KA et al. Revealing COVID-19 transmission in Australia by SARS-CoV-2 genome sequencing and agent-based </w:t>
      </w:r>
      <w:proofErr w:type="spellStart"/>
      <w:r w:rsidRPr="0008158F">
        <w:rPr>
          <w:rFonts w:eastAsia="Times New Roman"/>
        </w:rPr>
        <w:t>modeling</w:t>
      </w:r>
      <w:proofErr w:type="spellEnd"/>
      <w:r w:rsidRPr="0008158F">
        <w:rPr>
          <w:rFonts w:eastAsia="Times New Roman"/>
        </w:rPr>
        <w:t xml:space="preserve">. </w:t>
      </w:r>
      <w:r w:rsidRPr="0008158F">
        <w:rPr>
          <w:rStyle w:val="Emphasis"/>
          <w:rFonts w:eastAsia="Times New Roman"/>
          <w:b w:val="0"/>
        </w:rPr>
        <w:t>Nat Med</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https://doi.org/10.1038/s41591-020-1000-7. </w:t>
      </w:r>
    </w:p>
    <w:p w14:paraId="0FB1396E"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Seemann</w:t>
      </w:r>
      <w:proofErr w:type="spellEnd"/>
      <w:r w:rsidRPr="0008158F">
        <w:rPr>
          <w:rFonts w:eastAsia="Times New Roman"/>
        </w:rPr>
        <w:t xml:space="preserve"> T, Lane C, Sherry N, Duchene S, </w:t>
      </w:r>
      <w:proofErr w:type="spellStart"/>
      <w:r w:rsidRPr="0008158F">
        <w:rPr>
          <w:rFonts w:eastAsia="Times New Roman"/>
        </w:rPr>
        <w:t>Goncalves</w:t>
      </w:r>
      <w:proofErr w:type="spellEnd"/>
      <w:r w:rsidRPr="0008158F">
        <w:rPr>
          <w:rFonts w:eastAsia="Times New Roman"/>
        </w:rPr>
        <w:t xml:space="preserve"> da Silva A, </w:t>
      </w:r>
      <w:proofErr w:type="spellStart"/>
      <w:r w:rsidRPr="0008158F">
        <w:rPr>
          <w:rFonts w:eastAsia="Times New Roman"/>
        </w:rPr>
        <w:t>Caly</w:t>
      </w:r>
      <w:proofErr w:type="spellEnd"/>
      <w:r w:rsidRPr="0008158F">
        <w:rPr>
          <w:rFonts w:eastAsia="Times New Roman"/>
        </w:rPr>
        <w:t xml:space="preserve"> L et al. Tracking the COVID-19 pandemic in Australia using genomics. </w:t>
      </w:r>
      <w:proofErr w:type="spellStart"/>
      <w:proofErr w:type="gramStart"/>
      <w:r w:rsidRPr="0008158F">
        <w:rPr>
          <w:rStyle w:val="Emphasis"/>
          <w:rFonts w:eastAsia="Times New Roman"/>
          <w:b w:val="0"/>
        </w:rPr>
        <w:t>medRxiv</w:t>
      </w:r>
      <w:proofErr w:type="spellEnd"/>
      <w:proofErr w:type="gramEnd"/>
      <w:r w:rsidRPr="0008158F">
        <w:rPr>
          <w:rFonts w:eastAsia="Times New Roman"/>
        </w:rPr>
        <w:t xml:space="preserve">. 2020 </w:t>
      </w:r>
      <w:proofErr w:type="spellStart"/>
      <w:r w:rsidRPr="0008158F">
        <w:rPr>
          <w:rFonts w:eastAsia="Times New Roman"/>
        </w:rPr>
        <w:t>doi</w:t>
      </w:r>
      <w:proofErr w:type="spellEnd"/>
      <w:r w:rsidRPr="0008158F">
        <w:rPr>
          <w:rFonts w:eastAsia="Times New Roman"/>
        </w:rPr>
        <w:t xml:space="preserve">: https://doi.org/10.1101/2020.05.12.20099929. </w:t>
      </w:r>
    </w:p>
    <w:p w14:paraId="1CF4F1C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Eden JS, </w:t>
      </w:r>
      <w:proofErr w:type="spellStart"/>
      <w:r w:rsidRPr="0008158F">
        <w:rPr>
          <w:rFonts w:eastAsia="Times New Roman"/>
        </w:rPr>
        <w:t>Rockett</w:t>
      </w:r>
      <w:proofErr w:type="spellEnd"/>
      <w:r w:rsidRPr="0008158F">
        <w:rPr>
          <w:rFonts w:eastAsia="Times New Roman"/>
        </w:rPr>
        <w:t xml:space="preserve"> R, Carter I, Rahman H, de </w:t>
      </w:r>
      <w:proofErr w:type="spellStart"/>
      <w:r w:rsidRPr="0008158F">
        <w:rPr>
          <w:rFonts w:eastAsia="Times New Roman"/>
        </w:rPr>
        <w:t>Ligt</w:t>
      </w:r>
      <w:proofErr w:type="spellEnd"/>
      <w:r w:rsidRPr="0008158F">
        <w:rPr>
          <w:rFonts w:eastAsia="Times New Roman"/>
        </w:rPr>
        <w:t xml:space="preserve"> J, Hadfield J et al. An emergent clade of SARS-CoV-2 linked to returned travellers from Iran. </w:t>
      </w:r>
      <w:r w:rsidRPr="0008158F">
        <w:rPr>
          <w:rStyle w:val="Emphasis"/>
          <w:rFonts w:eastAsia="Times New Roman"/>
          <w:b w:val="0"/>
        </w:rPr>
        <w:t xml:space="preserve">Virus </w:t>
      </w:r>
      <w:proofErr w:type="spellStart"/>
      <w:r w:rsidRPr="0008158F">
        <w:rPr>
          <w:rStyle w:val="Emphasis"/>
          <w:rFonts w:eastAsia="Times New Roman"/>
          <w:b w:val="0"/>
        </w:rPr>
        <w:t>Evol</w:t>
      </w:r>
      <w:proofErr w:type="spellEnd"/>
      <w:r w:rsidRPr="0008158F">
        <w:rPr>
          <w:rFonts w:eastAsia="Times New Roman"/>
        </w:rPr>
        <w:t>. 2020</w:t>
      </w:r>
      <w:proofErr w:type="gramStart"/>
      <w:r w:rsidRPr="0008158F">
        <w:rPr>
          <w:rFonts w:eastAsia="Times New Roman"/>
        </w:rPr>
        <w:t>;6</w:t>
      </w:r>
      <w:proofErr w:type="gramEnd"/>
      <w:r w:rsidRPr="0008158F">
        <w:rPr>
          <w:rFonts w:eastAsia="Times New Roman"/>
        </w:rPr>
        <w:t xml:space="preserve">(1):veaa027. </w:t>
      </w:r>
      <w:proofErr w:type="spellStart"/>
      <w:proofErr w:type="gramStart"/>
      <w:r w:rsidRPr="0008158F">
        <w:rPr>
          <w:rFonts w:eastAsia="Times New Roman"/>
        </w:rPr>
        <w:t>doi</w:t>
      </w:r>
      <w:proofErr w:type="spellEnd"/>
      <w:proofErr w:type="gramEnd"/>
      <w:r w:rsidRPr="0008158F">
        <w:rPr>
          <w:rFonts w:eastAsia="Times New Roman"/>
        </w:rPr>
        <w:t xml:space="preserve">: https://doi.org/10.1093/ve/veaa027. </w:t>
      </w:r>
    </w:p>
    <w:p w14:paraId="7BEC175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14:paraId="2B48395A"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CDC COVID-19 Response Team. Severe outcomes among patients with Coronavirus Disease 2019 (COVID-19) - United States, February 12-March 16, 2020. </w:t>
      </w:r>
      <w:r w:rsidRPr="0008158F">
        <w:rPr>
          <w:rStyle w:val="Emphasis"/>
          <w:rFonts w:eastAsia="Times New Roman"/>
          <w:b w:val="0"/>
        </w:rPr>
        <w:t xml:space="preserve">MMWR </w:t>
      </w:r>
      <w:proofErr w:type="spellStart"/>
      <w:r w:rsidRPr="0008158F">
        <w:rPr>
          <w:rStyle w:val="Emphasis"/>
          <w:rFonts w:eastAsia="Times New Roman"/>
          <w:b w:val="0"/>
        </w:rPr>
        <w:t>Morb</w:t>
      </w:r>
      <w:proofErr w:type="spellEnd"/>
      <w:r w:rsidRPr="0008158F">
        <w:rPr>
          <w:rStyle w:val="Emphasis"/>
          <w:rFonts w:eastAsia="Times New Roman"/>
          <w:b w:val="0"/>
        </w:rPr>
        <w:t xml:space="preserve"> Mortal </w:t>
      </w:r>
      <w:proofErr w:type="spellStart"/>
      <w:r w:rsidRPr="0008158F">
        <w:rPr>
          <w:rStyle w:val="Emphasis"/>
          <w:rFonts w:eastAsia="Times New Roman"/>
          <w:b w:val="0"/>
        </w:rPr>
        <w:t>Wkly</w:t>
      </w:r>
      <w:proofErr w:type="spellEnd"/>
      <w:r w:rsidRPr="0008158F">
        <w:rPr>
          <w:rStyle w:val="Emphasis"/>
          <w:rFonts w:eastAsia="Times New Roman"/>
          <w:b w:val="0"/>
        </w:rPr>
        <w:t xml:space="preserve"> Rep</w:t>
      </w:r>
      <w:r w:rsidRPr="0008158F">
        <w:rPr>
          <w:rFonts w:eastAsia="Times New Roman"/>
        </w:rPr>
        <w:t>. 2020</w:t>
      </w:r>
      <w:proofErr w:type="gramStart"/>
      <w:r w:rsidRPr="0008158F">
        <w:rPr>
          <w:rFonts w:eastAsia="Times New Roman"/>
        </w:rPr>
        <w:t>;69</w:t>
      </w:r>
      <w:proofErr w:type="gramEnd"/>
      <w:r w:rsidRPr="0008158F">
        <w:rPr>
          <w:rFonts w:eastAsia="Times New Roman"/>
        </w:rPr>
        <w:t xml:space="preserve">(12):343-6. </w:t>
      </w:r>
    </w:p>
    <w:p w14:paraId="0CCCF5F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Statistics Canada. Table 13-10-0775-01. Detailed preliminary information on cases of COVID-19: 4 Dimensions (Aggregated data), Public Health Agency of Canada. [Internet.] Ottawa: Statistics Canada; 2020. [Accessed on 31 August 2020.] Available from: https://www150.statcan.gc.ca/t1/tbl1/en/tv.action?pid=1310077501. </w:t>
      </w:r>
    </w:p>
    <w:p w14:paraId="2E047DB0" w14:textId="77777777" w:rsidR="00FE4DEF" w:rsidRPr="0008158F" w:rsidRDefault="00FE4DEF" w:rsidP="0008158F">
      <w:pPr>
        <w:pStyle w:val="ListParagraph"/>
        <w:numPr>
          <w:ilvl w:val="0"/>
          <w:numId w:val="13"/>
        </w:numPr>
        <w:rPr>
          <w:rFonts w:eastAsia="Times New Roman"/>
        </w:rPr>
      </w:pPr>
      <w:r w:rsidRPr="0008158F">
        <w:rPr>
          <w:rFonts w:eastAsia="Times New Roman"/>
        </w:rPr>
        <w:lastRenderedPageBreak/>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7D569FED"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and New Zealand Intensive Care Society (ANZICS). SPRINT-SARI: Short period incidence study of severe acute respiratory infection. [Internet.] Camberwell: ANZICS; 19 March 2020. [Accessed on 9 July 2020.] Available from: https://www.anzics.com.au/current-active-endorsed-research/sprint-sari/. </w:t>
      </w:r>
    </w:p>
    <w:p w14:paraId="7F4242E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08158F">
        <w:rPr>
          <w:rStyle w:val="Emphasis"/>
          <w:rFonts w:eastAsia="Times New Roman"/>
          <w:b w:val="0"/>
        </w:rPr>
        <w:t>BMJ</w:t>
      </w:r>
      <w:r w:rsidRPr="0008158F">
        <w:rPr>
          <w:rFonts w:eastAsia="Times New Roman"/>
        </w:rPr>
        <w:t>. 2020</w:t>
      </w:r>
      <w:proofErr w:type="gramStart"/>
      <w:r w:rsidRPr="0008158F">
        <w:rPr>
          <w:rFonts w:eastAsia="Times New Roman"/>
        </w:rPr>
        <w:t>;369:m1985</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http://dx.doi.org/10.1136/bmj.m1985. </w:t>
      </w:r>
    </w:p>
    <w:p w14:paraId="2C0C8E4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Intensive Care National Audit and Research Centre (ICNARC). ICNARC report on COVID-19 in critical care 24 July 2020. London: ICNARC; 2020. [Accessed on 4 August 2020.] Available from: https://www.icnarc.org/Our-Audit/Audits/Cmp/Reports. </w:t>
      </w:r>
    </w:p>
    <w:p w14:paraId="78BAF9D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ICNARC. Table Appendix 2020-07-31.xlsx. [Downloadable resource.] London: ICNARC; 2020. [Accessed on 4 August 2020.] Available from: https://www.icnarc.org/DataServices/Attachments/Download/c31dd38d-d77bea11-9124-00505601089b. </w:t>
      </w:r>
    </w:p>
    <w:p w14:paraId="38102C03"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Zappala</w:t>
      </w:r>
      <w:proofErr w:type="spellEnd"/>
      <w:r w:rsidRPr="0008158F">
        <w:rPr>
          <w:rFonts w:eastAsia="Times New Roman"/>
        </w:rPr>
        <w:t xml:space="preserve"> C. Predicting a worse COVID-19 outcome. Chicago: American Medical Association; 8 May 2020. [Accessed on 2 September 2020.] Available from: https://ama.com.au/sites/default/files/AMA_PPE_Chris_Zappala_PREDICTING_WORSE_COVID19_OUTCOME.pdf. </w:t>
      </w:r>
    </w:p>
    <w:p w14:paraId="5F7546D4"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Petrakis D, </w:t>
      </w:r>
      <w:proofErr w:type="spellStart"/>
      <w:r w:rsidRPr="0008158F">
        <w:rPr>
          <w:rFonts w:eastAsia="Times New Roman"/>
        </w:rPr>
        <w:t>Margină</w:t>
      </w:r>
      <w:proofErr w:type="spellEnd"/>
      <w:r w:rsidRPr="0008158F">
        <w:rPr>
          <w:rFonts w:eastAsia="Times New Roman"/>
        </w:rPr>
        <w:t xml:space="preserve"> D, </w:t>
      </w:r>
      <w:proofErr w:type="spellStart"/>
      <w:r w:rsidRPr="0008158F">
        <w:rPr>
          <w:rFonts w:eastAsia="Times New Roman"/>
        </w:rPr>
        <w:t>Tsarouhas</w:t>
      </w:r>
      <w:proofErr w:type="spellEnd"/>
      <w:r w:rsidRPr="0008158F">
        <w:rPr>
          <w:rFonts w:eastAsia="Times New Roman"/>
        </w:rPr>
        <w:t xml:space="preserve"> K, </w:t>
      </w:r>
      <w:proofErr w:type="spellStart"/>
      <w:r w:rsidRPr="0008158F">
        <w:rPr>
          <w:rFonts w:eastAsia="Times New Roman"/>
        </w:rPr>
        <w:t>Tekos</w:t>
      </w:r>
      <w:proofErr w:type="spellEnd"/>
      <w:r w:rsidRPr="0008158F">
        <w:rPr>
          <w:rFonts w:eastAsia="Times New Roman"/>
        </w:rPr>
        <w:t xml:space="preserve"> F, Stan M, </w:t>
      </w:r>
      <w:proofErr w:type="spellStart"/>
      <w:r w:rsidRPr="0008158F">
        <w:rPr>
          <w:rFonts w:eastAsia="Times New Roman"/>
        </w:rPr>
        <w:t>Nikitovic</w:t>
      </w:r>
      <w:proofErr w:type="spellEnd"/>
      <w:r w:rsidRPr="0008158F">
        <w:rPr>
          <w:rFonts w:eastAsia="Times New Roman"/>
        </w:rPr>
        <w:t xml:space="preserve"> N et al. Obesity – a risk factor for increased COVID19 prevalence, severity and lethality (Review). </w:t>
      </w:r>
      <w:proofErr w:type="spellStart"/>
      <w:r w:rsidRPr="0008158F">
        <w:rPr>
          <w:rStyle w:val="Emphasis"/>
          <w:rFonts w:eastAsia="Times New Roman"/>
          <w:b w:val="0"/>
        </w:rPr>
        <w:t>Mol</w:t>
      </w:r>
      <w:proofErr w:type="spellEnd"/>
      <w:r w:rsidRPr="0008158F">
        <w:rPr>
          <w:rStyle w:val="Emphasis"/>
          <w:rFonts w:eastAsia="Times New Roman"/>
          <w:b w:val="0"/>
        </w:rPr>
        <w:t xml:space="preserve"> Med Rep</w:t>
      </w:r>
      <w:r w:rsidRPr="0008158F">
        <w:rPr>
          <w:rFonts w:eastAsia="Times New Roman"/>
        </w:rPr>
        <w:t>. 2020</w:t>
      </w:r>
      <w:proofErr w:type="gramStart"/>
      <w:r w:rsidRPr="0008158F">
        <w:rPr>
          <w:rFonts w:eastAsia="Times New Roman"/>
        </w:rPr>
        <w:t>;22</w:t>
      </w:r>
      <w:proofErr w:type="gramEnd"/>
      <w:r w:rsidRPr="0008158F">
        <w:rPr>
          <w:rFonts w:eastAsia="Times New Roman"/>
        </w:rPr>
        <w:t xml:space="preserve">(1):9–19. </w:t>
      </w:r>
    </w:p>
    <w:p w14:paraId="312B27C1"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European Centre for Disease Prevention and Control (ECDC). COVID-19 surveillance report: Week 26, 2020. [Internet.] </w:t>
      </w:r>
      <w:proofErr w:type="spellStart"/>
      <w:r w:rsidRPr="0008158F">
        <w:rPr>
          <w:rFonts w:eastAsia="Times New Roman"/>
        </w:rPr>
        <w:t>Solna</w:t>
      </w:r>
      <w:proofErr w:type="spellEnd"/>
      <w:r w:rsidRPr="0008158F">
        <w:rPr>
          <w:rFonts w:eastAsia="Times New Roman"/>
        </w:rPr>
        <w:t xml:space="preserve">: ECDC; 4 July 2020. [Accessed on 9 July 2020.] Available from: https://covid19-surveillance-report.ecdc.europa.eu/. </w:t>
      </w:r>
    </w:p>
    <w:p w14:paraId="5FA0F0CD"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South Australia. COVID-19 response: COVID response updates. [Internet.] Adelaide: Government of South Australia; 28 August 2020. [Accessed on 1 September 2020.] Available from: https://www.covid-19.sa.gov.au/recovery. </w:t>
      </w:r>
    </w:p>
    <w:p w14:paraId="3C42D29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Queensland Government. Border restrictions. [Internet.] Brisbane: Queensland Government; 2020. [Accessed on 1 September 2020.] Available from: https://www.qld.gov.au/health/conditions/health-alerts/coronavirus-covid-19/current-status/public-health-directions/border-restrictions. </w:t>
      </w:r>
    </w:p>
    <w:p w14:paraId="6A950CA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Tasmanian Government. Coronavirus disease (COVID-19): important community updates. [Internet.] Hobart: Tasmanian Government; 31 August 2020. [Accessed on 1 September 2020.] Available from: https://coronavirus.tas.gov.au/facts/important-community-updates. </w:t>
      </w:r>
    </w:p>
    <w:p w14:paraId="7313EFF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Capital Territory Government. Canberra’s recovery plan: easing of restrictions. [Internet.] Canberra: Australian Capital Territory Government; 21 August 2020. [Accessed on 1 September 2020.] Available from: https://www.covid19.act.gov.au/community/canberra-recovery. </w:t>
      </w:r>
    </w:p>
    <w:p w14:paraId="5EE98329" w14:textId="77777777" w:rsidR="00FE4DEF" w:rsidRPr="0008158F" w:rsidRDefault="00FE4DEF" w:rsidP="0008158F">
      <w:pPr>
        <w:pStyle w:val="ListParagraph"/>
        <w:numPr>
          <w:ilvl w:val="0"/>
          <w:numId w:val="13"/>
        </w:numPr>
        <w:rPr>
          <w:rFonts w:eastAsia="Times New Roman"/>
        </w:rPr>
      </w:pPr>
      <w:r w:rsidRPr="0008158F">
        <w:rPr>
          <w:rFonts w:eastAsia="Times New Roman"/>
        </w:rPr>
        <w:lastRenderedPageBreak/>
        <w:t xml:space="preserve">Australian Capital Territory Government. COVID-19: summary of key changes. [Internet.] Canberra: Australian Capital Territory Government; 2020. [Accessed on 1 September 2020.] Available from: https://www.covid19.act.gov.au/what-you-can-do/faqs-changes-to-restrictions/summary-of-key-changes. </w:t>
      </w:r>
    </w:p>
    <w:p w14:paraId="3F59B12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Queensland Government. Urgent COVID-19 update. [Internet.] Brisbane: Queensland Government; 2020. [Accessed on 1 September 2020.] Available from: https://www.qld.gov.au/health/conditions/health-alerts/coronavirus-covid-19/current-status/urgent-covid-19-update. </w:t>
      </w:r>
    </w:p>
    <w:p w14:paraId="6EEE2FA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South Australia. COVID-19 response: COVID response updates. [Internet.] Adelaide: Government of South Australia; 28 August 2020. [Accessed on 1 September 2020.] Available from: https://www.covid-19.sa.gov.au/response. </w:t>
      </w:r>
    </w:p>
    <w:p w14:paraId="42A64D7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New South Wales. What you can and can’t do under the rules. [Internet.] Sydney: Government of New South Wales; 2020. [Accessed on 1 September 2020.] Available from: https://www.nsw.gov.au/covid-19/what-you-can-and-cant-do-under-rules. </w:t>
      </w:r>
    </w:p>
    <w:p w14:paraId="00F6B29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Department of Health and Human Services (DHHS). Victoria’s restriction levels. [Internet.] Melbourne: Victoria State Government, DHHS; 2020. [Accessed on 1 September 2020.] Available from: https://www.dhhs.vic.gov.au/victorias-restriction-levels-covid-19. </w:t>
      </w:r>
    </w:p>
    <w:p w14:paraId="132CFA1C"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Government of Western Australia. COVID-19 coronavirus: WA Roadmap. [Internet.] Perth: Government of Western Australia; 2020. [Accessed on 1 September 2020.] Available from: https://www.wa.gov.au/organisation/department-of-the-premier-and-cabinet/covid-19-coronavirus-wa-roadmap. </w:t>
      </w:r>
    </w:p>
    <w:p w14:paraId="3F83B5B3"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Northern Territory Government. Roadmap to the new normal: other information. [Internet.] Darwin: Northern Territory Government; 2020. [Accessed on 4 August 2020.] Available from: https://coronavirus.nt.gov.au/roadmap-new-normal#section2. </w:t>
      </w:r>
    </w:p>
    <w:p w14:paraId="3ADE7BD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World Health Organization (WHO). WHO Coronavirus Disease (COVID-19) dashboard. [Internet.] Geneva: WHO; 30 August 2020. [Accessed on 31 August 2020.] Available from: https://covid19.who.int/. </w:t>
      </w:r>
    </w:p>
    <w:p w14:paraId="0441C72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New Zealand Government Ministry of Health. COVID-19 - Significant clusters. [Internet.] Wellington: New Zealand Government Ministry of Health; 2020. [Accessed on 31 August 2020.] Available from: https://www.health.govt.nz/our-work/diseases-and-conditions/covid-19-novel-coronavirus/covid-19-current-situation/covid-19-current-cases/covid-19-significant-clusters. </w:t>
      </w:r>
    </w:p>
    <w:p w14:paraId="6A826AD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New Zealand Government. Current alert level. [Internet.] Wellington: New Zealand Government; 2020. [Accessed on 20 August 2020.] Available from: https://covid19.govt.nz/covid-19/current-alert-level/. </w:t>
      </w:r>
    </w:p>
    <w:p w14:paraId="284A09CF"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Papua New Guinea National Department of Health, WHO Representative Office for Papua New Guinea. Papua New Guinea Coronavirus Disease 2019 (COVID-19) Health Situation Report #35: 24 August 2020. Port Moresby: Papua New Guinea National Department of Health; 2020. [Accessed on 31 August 2020.] Available from: https://www.who.int/docs/default-source/wpro---documents/countries/papua-new-guinea/covid-19/png-covid-19-health-situation-report-35.pdf?sfvrsn=24731343_2. </w:t>
      </w:r>
    </w:p>
    <w:p w14:paraId="3B671128" w14:textId="77777777" w:rsidR="00FE4DEF" w:rsidRPr="0008158F" w:rsidRDefault="00FE4DEF" w:rsidP="0008158F">
      <w:pPr>
        <w:pStyle w:val="ListParagraph"/>
        <w:numPr>
          <w:ilvl w:val="0"/>
          <w:numId w:val="13"/>
        </w:numPr>
        <w:rPr>
          <w:rFonts w:eastAsia="Times New Roman"/>
        </w:rPr>
      </w:pPr>
      <w:r w:rsidRPr="0008158F">
        <w:rPr>
          <w:rFonts w:eastAsia="Times New Roman"/>
        </w:rPr>
        <w:lastRenderedPageBreak/>
        <w:t xml:space="preserve">Ministry of Health and Sports (Myanmar) Department of Public Health Central Epidemiology Unit. </w:t>
      </w:r>
      <w:r w:rsidRPr="0008158F">
        <w:rPr>
          <w:rStyle w:val="Emphasis"/>
          <w:rFonts w:eastAsia="Times New Roman"/>
          <w:b w:val="0"/>
        </w:rPr>
        <w:t xml:space="preserve">Situation Report 145: </w:t>
      </w:r>
      <w:r w:rsidRPr="0008158F">
        <w:rPr>
          <w:rFonts w:eastAsia="Times New Roman"/>
        </w:rPr>
        <w:t>30 August</w:t>
      </w:r>
      <w:r w:rsidRPr="0008158F">
        <w:rPr>
          <w:rStyle w:val="Emphasis"/>
          <w:rFonts w:eastAsia="Times New Roman"/>
          <w:b w:val="0"/>
        </w:rPr>
        <w:t xml:space="preserve"> 2020</w:t>
      </w:r>
      <w:r w:rsidRPr="0008158F">
        <w:rPr>
          <w:rFonts w:eastAsia="Times New Roman"/>
        </w:rPr>
        <w:t xml:space="preserve">. Naypyidaw: Government of Myanmar Ministry of Health and Sports; 30 August 2020. [Accessed on 1 Sept 2020.] Available from: http://mohs.gov.mm/su/pwgi6286PW. </w:t>
      </w:r>
    </w:p>
    <w:p w14:paraId="7C0A05E4"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Australian Government Department of Health. Coronavirus Disease 2019 (COVID-19): CDNA National guidelines for public health units. [Internet.] Canberra: Australian Government Department of Health; 24 August 2020. [Accessed on 3 September 2020.] Available from: https://www1.health.gov.au/internet/main/publishing.nsf/Content/cdna-song-novel-coronavirus.htm. </w:t>
      </w:r>
    </w:p>
    <w:p w14:paraId="2790FE4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14:paraId="0077CCC7"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Harding H, Broom </w:t>
      </w:r>
      <w:proofErr w:type="gramStart"/>
      <w:r w:rsidRPr="0008158F">
        <w:rPr>
          <w:rFonts w:eastAsia="Times New Roman"/>
        </w:rPr>
        <w:t>A</w:t>
      </w:r>
      <w:proofErr w:type="gramEnd"/>
      <w:r w:rsidRPr="0008158F">
        <w:rPr>
          <w:rFonts w:eastAsia="Times New Roman"/>
        </w:rPr>
        <w:t xml:space="preserve">, Broom J. Aerosol-generating procedures and infective risk to healthcare workers from SARS-CoV-2: the limits of the evidence. </w:t>
      </w:r>
      <w:r w:rsidRPr="0008158F">
        <w:rPr>
          <w:rStyle w:val="Emphasis"/>
          <w:rFonts w:eastAsia="Times New Roman"/>
          <w:b w:val="0"/>
        </w:rPr>
        <w:t xml:space="preserve">J </w:t>
      </w:r>
      <w:proofErr w:type="spellStart"/>
      <w:r w:rsidRPr="0008158F">
        <w:rPr>
          <w:rStyle w:val="Emphasis"/>
          <w:rFonts w:eastAsia="Times New Roman"/>
          <w:b w:val="0"/>
        </w:rPr>
        <w:t>Hosp</w:t>
      </w:r>
      <w:proofErr w:type="spellEnd"/>
      <w:r w:rsidRPr="0008158F">
        <w:rPr>
          <w:rStyle w:val="Emphasis"/>
          <w:rFonts w:eastAsia="Times New Roman"/>
          <w:b w:val="0"/>
        </w:rPr>
        <w:t xml:space="preserve"> Infect</w:t>
      </w:r>
      <w:r w:rsidRPr="0008158F">
        <w:rPr>
          <w:rFonts w:eastAsia="Times New Roman"/>
        </w:rPr>
        <w:t>. 2020</w:t>
      </w:r>
      <w:proofErr w:type="gramStart"/>
      <w:r w:rsidRPr="0008158F">
        <w:rPr>
          <w:rFonts w:eastAsia="Times New Roman"/>
        </w:rPr>
        <w:t>;105</w:t>
      </w:r>
      <w:proofErr w:type="gramEnd"/>
      <w:r w:rsidRPr="0008158F">
        <w:rPr>
          <w:rFonts w:eastAsia="Times New Roman"/>
        </w:rPr>
        <w:t xml:space="preserve">(4):717–25. </w:t>
      </w:r>
    </w:p>
    <w:p w14:paraId="0EF79FC0"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Morawska</w:t>
      </w:r>
      <w:proofErr w:type="spellEnd"/>
      <w:r w:rsidRPr="0008158F">
        <w:rPr>
          <w:rFonts w:eastAsia="Times New Roman"/>
        </w:rPr>
        <w:t xml:space="preserve"> L, Milton DK. It is time to address airborne transmission of COVID-19. </w:t>
      </w:r>
      <w:proofErr w:type="spellStart"/>
      <w:r w:rsidRPr="0008158F">
        <w:rPr>
          <w:rStyle w:val="Emphasis"/>
          <w:rFonts w:eastAsia="Times New Roman"/>
          <w:b w:val="0"/>
        </w:rPr>
        <w:t>Clin</w:t>
      </w:r>
      <w:proofErr w:type="spellEnd"/>
      <w:r w:rsidRPr="0008158F">
        <w:rPr>
          <w:rStyle w:val="Emphasis"/>
          <w:rFonts w:eastAsia="Times New Roman"/>
          <w:b w:val="0"/>
        </w:rPr>
        <w:t xml:space="preserve"> Infect Dis</w:t>
      </w:r>
      <w:r w:rsidRPr="0008158F">
        <w:rPr>
          <w:rFonts w:eastAsia="Times New Roman"/>
        </w:rPr>
        <w:t>. 2020</w:t>
      </w:r>
      <w:proofErr w:type="gramStart"/>
      <w:r w:rsidRPr="0008158F">
        <w:rPr>
          <w:rFonts w:eastAsia="Times New Roman"/>
        </w:rPr>
        <w:t>;ciaa939</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https://doi.org/10.1093/cid/ciaa939. </w:t>
      </w:r>
    </w:p>
    <w:p w14:paraId="4CB837B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Transmission of SARS-CoV-2: implications for infection prevention precautions. [Internet.] Geneva: WHO; 9 July 2020. [Accessed on 28 July 2020.] Available from: https://www.who.int/news-room/commentaries/detail/transmission-of-sars-cov-2-implications-for-infection-prevention-precautions. </w:t>
      </w:r>
    </w:p>
    <w:p w14:paraId="523EE201"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Pulinx</w:t>
      </w:r>
      <w:proofErr w:type="spellEnd"/>
      <w:r w:rsidRPr="0008158F">
        <w:rPr>
          <w:rFonts w:eastAsia="Times New Roman"/>
        </w:rPr>
        <w:t xml:space="preserve"> B, </w:t>
      </w:r>
      <w:proofErr w:type="spellStart"/>
      <w:r w:rsidRPr="0008158F">
        <w:rPr>
          <w:rFonts w:eastAsia="Times New Roman"/>
        </w:rPr>
        <w:t>Kieffer</w:t>
      </w:r>
      <w:proofErr w:type="spellEnd"/>
      <w:r w:rsidRPr="0008158F">
        <w:rPr>
          <w:rFonts w:eastAsia="Times New Roman"/>
        </w:rPr>
        <w:t xml:space="preserve"> D, </w:t>
      </w:r>
      <w:proofErr w:type="spellStart"/>
      <w:r w:rsidRPr="0008158F">
        <w:rPr>
          <w:rFonts w:eastAsia="Times New Roman"/>
        </w:rPr>
        <w:t>Michiels</w:t>
      </w:r>
      <w:proofErr w:type="spellEnd"/>
      <w:r w:rsidRPr="0008158F">
        <w:rPr>
          <w:rFonts w:eastAsia="Times New Roman"/>
        </w:rPr>
        <w:t xml:space="preserve"> I, </w:t>
      </w:r>
      <w:proofErr w:type="spellStart"/>
      <w:r w:rsidRPr="0008158F">
        <w:rPr>
          <w:rFonts w:eastAsia="Times New Roman"/>
        </w:rPr>
        <w:t>Petermans</w:t>
      </w:r>
      <w:proofErr w:type="spellEnd"/>
      <w:r w:rsidRPr="0008158F">
        <w:rPr>
          <w:rFonts w:eastAsia="Times New Roman"/>
        </w:rPr>
        <w:t xml:space="preserve"> S, </w:t>
      </w:r>
      <w:proofErr w:type="spellStart"/>
      <w:r w:rsidRPr="0008158F">
        <w:rPr>
          <w:rFonts w:eastAsia="Times New Roman"/>
        </w:rPr>
        <w:t>Strybol</w:t>
      </w:r>
      <w:proofErr w:type="spellEnd"/>
      <w:r w:rsidRPr="0008158F">
        <w:rPr>
          <w:rFonts w:eastAsia="Times New Roman"/>
        </w:rPr>
        <w:t xml:space="preserve"> D, </w:t>
      </w:r>
      <w:proofErr w:type="spellStart"/>
      <w:r w:rsidRPr="0008158F">
        <w:rPr>
          <w:rFonts w:eastAsia="Times New Roman"/>
        </w:rPr>
        <w:t>Delvaux</w:t>
      </w:r>
      <w:proofErr w:type="spellEnd"/>
      <w:r w:rsidRPr="0008158F">
        <w:rPr>
          <w:rFonts w:eastAsia="Times New Roman"/>
        </w:rPr>
        <w:t xml:space="preserve"> S et al. Vertical transmission of SARS-CoV-2 infection and preterm birth. </w:t>
      </w:r>
      <w:proofErr w:type="spellStart"/>
      <w:r w:rsidRPr="0008158F">
        <w:rPr>
          <w:rStyle w:val="Emphasis"/>
          <w:rFonts w:eastAsia="Times New Roman"/>
          <w:b w:val="0"/>
        </w:rPr>
        <w:t>Eur</w:t>
      </w:r>
      <w:proofErr w:type="spellEnd"/>
      <w:r w:rsidRPr="0008158F">
        <w:rPr>
          <w:rStyle w:val="Emphasis"/>
          <w:rFonts w:eastAsia="Times New Roman"/>
          <w:b w:val="0"/>
        </w:rPr>
        <w:t xml:space="preserve"> J </w:t>
      </w:r>
      <w:proofErr w:type="spellStart"/>
      <w:r w:rsidRPr="0008158F">
        <w:rPr>
          <w:rStyle w:val="Emphasis"/>
          <w:rFonts w:eastAsia="Times New Roman"/>
          <w:b w:val="0"/>
        </w:rPr>
        <w:t>Clin</w:t>
      </w:r>
      <w:proofErr w:type="spellEnd"/>
      <w:r w:rsidRPr="0008158F">
        <w:rPr>
          <w:rStyle w:val="Emphasis"/>
          <w:rFonts w:eastAsia="Times New Roman"/>
          <w:b w:val="0"/>
        </w:rPr>
        <w:t xml:space="preserve"> </w:t>
      </w:r>
      <w:proofErr w:type="spellStart"/>
      <w:r w:rsidRPr="0008158F">
        <w:rPr>
          <w:rStyle w:val="Emphasis"/>
          <w:rFonts w:eastAsia="Times New Roman"/>
          <w:b w:val="0"/>
        </w:rPr>
        <w:t>Microbiol</w:t>
      </w:r>
      <w:proofErr w:type="spellEnd"/>
      <w:r w:rsidRPr="0008158F">
        <w:rPr>
          <w:rStyle w:val="Emphasis"/>
          <w:rFonts w:eastAsia="Times New Roman"/>
          <w:b w:val="0"/>
        </w:rPr>
        <w:t xml:space="preserve"> Infect Dis</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https://doi.org/10.1007/s10096-020-03964-y. </w:t>
      </w:r>
    </w:p>
    <w:p w14:paraId="5171131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ECDC. Rapid risk assessment: Paediatric inflammatory multisystem syndrome and SARS-CoV-2 infection in children – 15 May 2020. </w:t>
      </w:r>
      <w:proofErr w:type="spellStart"/>
      <w:r w:rsidRPr="0008158F">
        <w:rPr>
          <w:rFonts w:eastAsia="Times New Roman"/>
        </w:rPr>
        <w:t>Solna</w:t>
      </w:r>
      <w:proofErr w:type="spellEnd"/>
      <w:r w:rsidRPr="0008158F">
        <w:rPr>
          <w:rFonts w:eastAsia="Times New Roman"/>
        </w:rPr>
        <w:t xml:space="preserve">: ECDC; 2020. [Accessed on 19 May 2020.] Available from: https://www.ecdc.europa.eu/sites/default/files/documents/covid-19-risk-assessment-paediatric-inflammatory-multisystem-syndrome-15-May-2020.pdf. </w:t>
      </w:r>
    </w:p>
    <w:p w14:paraId="79F5FAD8"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14:paraId="6CA53816"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Pung</w:t>
      </w:r>
      <w:proofErr w:type="spellEnd"/>
      <w:r w:rsidRPr="0008158F">
        <w:rPr>
          <w:rFonts w:eastAsia="Times New Roman"/>
        </w:rPr>
        <w:t xml:space="preserve"> R, </w:t>
      </w:r>
      <w:proofErr w:type="spellStart"/>
      <w:r w:rsidRPr="0008158F">
        <w:rPr>
          <w:rFonts w:eastAsia="Times New Roman"/>
        </w:rPr>
        <w:t>Chiew</w:t>
      </w:r>
      <w:proofErr w:type="spellEnd"/>
      <w:r w:rsidRPr="0008158F">
        <w:rPr>
          <w:rFonts w:eastAsia="Times New Roman"/>
        </w:rPr>
        <w:t xml:space="preserve"> CJ, Young BE, Chin S, Chen M, Clapham HE. Investigation of three clusters of COVID-19 in Singapore: implications for surveillance and response measures. </w:t>
      </w:r>
      <w:r w:rsidRPr="0008158F">
        <w:rPr>
          <w:rStyle w:val="Emphasis"/>
          <w:rFonts w:eastAsia="Times New Roman"/>
          <w:b w:val="0"/>
        </w:rPr>
        <w:t>Lancet</w:t>
      </w:r>
      <w:r w:rsidRPr="0008158F">
        <w:rPr>
          <w:rFonts w:eastAsia="Times New Roman"/>
        </w:rPr>
        <w:t>. 2020</w:t>
      </w:r>
      <w:proofErr w:type="gramStart"/>
      <w:r w:rsidRPr="0008158F">
        <w:rPr>
          <w:rFonts w:eastAsia="Times New Roman"/>
        </w:rPr>
        <w:t>;395</w:t>
      </w:r>
      <w:proofErr w:type="gramEnd"/>
      <w:r w:rsidRPr="0008158F">
        <w:rPr>
          <w:rFonts w:eastAsia="Times New Roman"/>
        </w:rPr>
        <w:t xml:space="preserve">(10229):1039–46. </w:t>
      </w:r>
    </w:p>
    <w:p w14:paraId="19659B81"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Park M, Cook AR, Lim JT, Sun Y, Dickens BL. A systematic review of COVID-19 epidemiology based on current evidence. </w:t>
      </w:r>
      <w:r w:rsidRPr="0008158F">
        <w:rPr>
          <w:rStyle w:val="Emphasis"/>
          <w:rFonts w:eastAsia="Times New Roman"/>
          <w:b w:val="0"/>
        </w:rPr>
        <w:t xml:space="preserve">J </w:t>
      </w:r>
      <w:proofErr w:type="spellStart"/>
      <w:r w:rsidRPr="0008158F">
        <w:rPr>
          <w:rStyle w:val="Emphasis"/>
          <w:rFonts w:eastAsia="Times New Roman"/>
          <w:b w:val="0"/>
        </w:rPr>
        <w:t>Clin</w:t>
      </w:r>
      <w:proofErr w:type="spellEnd"/>
      <w:r w:rsidRPr="0008158F">
        <w:rPr>
          <w:rStyle w:val="Emphasis"/>
          <w:rFonts w:eastAsia="Times New Roman"/>
          <w:b w:val="0"/>
        </w:rPr>
        <w:t xml:space="preserve"> Med</w:t>
      </w:r>
      <w:r w:rsidRPr="0008158F">
        <w:rPr>
          <w:rFonts w:eastAsia="Times New Roman"/>
        </w:rPr>
        <w:t>. 2020</w:t>
      </w:r>
      <w:proofErr w:type="gramStart"/>
      <w:r w:rsidRPr="0008158F">
        <w:rPr>
          <w:rFonts w:eastAsia="Times New Roman"/>
        </w:rPr>
        <w:t>;9</w:t>
      </w:r>
      <w:proofErr w:type="gramEnd"/>
      <w:r w:rsidRPr="0008158F">
        <w:rPr>
          <w:rFonts w:eastAsia="Times New Roman"/>
        </w:rPr>
        <w:t xml:space="preserve">(4):967. </w:t>
      </w:r>
    </w:p>
    <w:p w14:paraId="6A0B72E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Coronavirus disease 2019 (COVID-19) situation report – 73. [Internet.] Geneva: WHO; 2020. [Accessed on 4 August 2020.] Available from: https://www.who.int/docs/default-source/coronaviruse/situation-reports/20200402-sitrep-73-Covid-19.pdf. </w:t>
      </w:r>
    </w:p>
    <w:p w14:paraId="544446AF"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Criteria for releasing COVID-19 patients from isolation: scientific brief. [Internet.] Geneva: WHO; 17 June 2020. [Accessed on 4 August 2020.] Available </w:t>
      </w:r>
      <w:r w:rsidRPr="0008158F">
        <w:rPr>
          <w:rFonts w:eastAsia="Times New Roman"/>
        </w:rPr>
        <w:lastRenderedPageBreak/>
        <w:t xml:space="preserve">from: https://www.who.int/news-room/commentaries/detail/criteria-for-releasing-covid-19-patients-from-isolation. </w:t>
      </w:r>
    </w:p>
    <w:p w14:paraId="5A5892F2"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Wölfel</w:t>
      </w:r>
      <w:proofErr w:type="spellEnd"/>
      <w:r w:rsidRPr="0008158F">
        <w:rPr>
          <w:rFonts w:eastAsia="Times New Roman"/>
        </w:rPr>
        <w:t xml:space="preserve"> R, </w:t>
      </w:r>
      <w:proofErr w:type="spellStart"/>
      <w:r w:rsidRPr="0008158F">
        <w:rPr>
          <w:rFonts w:eastAsia="Times New Roman"/>
        </w:rPr>
        <w:t>Corman</w:t>
      </w:r>
      <w:proofErr w:type="spellEnd"/>
      <w:r w:rsidRPr="0008158F">
        <w:rPr>
          <w:rFonts w:eastAsia="Times New Roman"/>
        </w:rPr>
        <w:t xml:space="preserve"> VM, </w:t>
      </w:r>
      <w:proofErr w:type="spellStart"/>
      <w:r w:rsidRPr="0008158F">
        <w:rPr>
          <w:rFonts w:eastAsia="Times New Roman"/>
        </w:rPr>
        <w:t>Guggemos</w:t>
      </w:r>
      <w:proofErr w:type="spellEnd"/>
      <w:r w:rsidRPr="0008158F">
        <w:rPr>
          <w:rFonts w:eastAsia="Times New Roman"/>
        </w:rPr>
        <w:t xml:space="preserve"> W, </w:t>
      </w:r>
      <w:proofErr w:type="spellStart"/>
      <w:r w:rsidRPr="0008158F">
        <w:rPr>
          <w:rFonts w:eastAsia="Times New Roman"/>
        </w:rPr>
        <w:t>Seilmaier</w:t>
      </w:r>
      <w:proofErr w:type="spellEnd"/>
      <w:r w:rsidRPr="0008158F">
        <w:rPr>
          <w:rFonts w:eastAsia="Times New Roman"/>
        </w:rPr>
        <w:t xml:space="preserve"> M, </w:t>
      </w:r>
      <w:proofErr w:type="spellStart"/>
      <w:r w:rsidRPr="0008158F">
        <w:rPr>
          <w:rFonts w:eastAsia="Times New Roman"/>
        </w:rPr>
        <w:t>Zange</w:t>
      </w:r>
      <w:proofErr w:type="spellEnd"/>
      <w:r w:rsidRPr="0008158F">
        <w:rPr>
          <w:rFonts w:eastAsia="Times New Roman"/>
        </w:rPr>
        <w:t xml:space="preserve"> S, Müller MA et al. Virological assessment of hospitalized patients with COVID-2019. </w:t>
      </w:r>
      <w:r w:rsidRPr="0008158F">
        <w:rPr>
          <w:rStyle w:val="Emphasis"/>
          <w:rFonts w:eastAsia="Times New Roman"/>
          <w:b w:val="0"/>
        </w:rPr>
        <w:t>Nature</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https://doi.org/10.1038/s41586-020-2196-x. </w:t>
      </w:r>
    </w:p>
    <w:p w14:paraId="130A32EC"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He X, Lau EHY, Wu P, Deng X, Wang J, </w:t>
      </w:r>
      <w:proofErr w:type="spellStart"/>
      <w:r w:rsidRPr="0008158F">
        <w:rPr>
          <w:rFonts w:eastAsia="Times New Roman"/>
        </w:rPr>
        <w:t>Hao</w:t>
      </w:r>
      <w:proofErr w:type="spellEnd"/>
      <w:r w:rsidRPr="0008158F">
        <w:rPr>
          <w:rFonts w:eastAsia="Times New Roman"/>
        </w:rPr>
        <w:t xml:space="preserve"> X. Temporal dynamics in viral shedding and transmissibility of COVID-19. </w:t>
      </w:r>
      <w:r w:rsidRPr="0008158F">
        <w:rPr>
          <w:rStyle w:val="Emphasis"/>
          <w:rFonts w:eastAsia="Times New Roman"/>
          <w:b w:val="0"/>
        </w:rPr>
        <w:t>Nat Med</w:t>
      </w:r>
      <w:r w:rsidRPr="0008158F">
        <w:rPr>
          <w:rFonts w:eastAsia="Times New Roman"/>
        </w:rPr>
        <w:t>. 2020</w:t>
      </w:r>
      <w:proofErr w:type="gramStart"/>
      <w:r w:rsidRPr="0008158F">
        <w:rPr>
          <w:rFonts w:eastAsia="Times New Roman"/>
        </w:rPr>
        <w:t>;26</w:t>
      </w:r>
      <w:proofErr w:type="gramEnd"/>
      <w:r w:rsidRPr="0008158F">
        <w:rPr>
          <w:rFonts w:eastAsia="Times New Roman"/>
        </w:rPr>
        <w:t xml:space="preserve">(5):672-675. </w:t>
      </w:r>
    </w:p>
    <w:p w14:paraId="0950358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Regional Office for the Eastern Mediterranean. Transmission of COVID-19 by asymptomatic cases. [Internet.] Geneva: WHO; 11 June 2020. [Accessed on 4 August 2020.] Available from: http://www.emro.who.int/health-topics/corona-virus/transmission-of-covid-19-by-asymptomatic-cases.html. </w:t>
      </w:r>
    </w:p>
    <w:p w14:paraId="6521E21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Lennon NJ, Bhattacharyya RP, Mina MJ, </w:t>
      </w:r>
      <w:proofErr w:type="spellStart"/>
      <w:r w:rsidRPr="0008158F">
        <w:rPr>
          <w:rFonts w:eastAsia="Times New Roman"/>
        </w:rPr>
        <w:t>Rehm</w:t>
      </w:r>
      <w:proofErr w:type="spellEnd"/>
      <w:r w:rsidRPr="0008158F">
        <w:rPr>
          <w:rFonts w:eastAsia="Times New Roman"/>
        </w:rPr>
        <w:t xml:space="preserve"> HL, Hung DT, </w:t>
      </w:r>
      <w:proofErr w:type="spellStart"/>
      <w:r w:rsidRPr="0008158F">
        <w:rPr>
          <w:rFonts w:eastAsia="Times New Roman"/>
        </w:rPr>
        <w:t>Smole</w:t>
      </w:r>
      <w:proofErr w:type="spellEnd"/>
      <w:r w:rsidRPr="0008158F">
        <w:rPr>
          <w:rFonts w:eastAsia="Times New Roman"/>
        </w:rPr>
        <w:t xml:space="preserve"> S et al. Comparison of viral levels in individuals with or without symptoms at time of COVID-19 testing among 32,480 residents and staff of nursing homes and assisted living facilities in Massachusetts. </w:t>
      </w:r>
      <w:proofErr w:type="spellStart"/>
      <w:proofErr w:type="gramStart"/>
      <w:r w:rsidRPr="0008158F">
        <w:rPr>
          <w:rStyle w:val="Emphasis"/>
          <w:rFonts w:eastAsia="Times New Roman"/>
          <w:b w:val="0"/>
        </w:rPr>
        <w:t>medRxiv</w:t>
      </w:r>
      <w:proofErr w:type="spellEnd"/>
      <w:proofErr w:type="gram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https://doi.org/10.1101/2020.07.20.20157792. </w:t>
      </w:r>
    </w:p>
    <w:p w14:paraId="5FEC789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Cheng HY, Jian SW, Liu DP, Ng TC, Huang WT, Lin HH. Contact tracing assessment of COVID-19 transmission dynamics in Taiwan and risk at different exposure periods before and after symptom onset. </w:t>
      </w:r>
      <w:r w:rsidRPr="0008158F">
        <w:rPr>
          <w:rStyle w:val="Emphasis"/>
          <w:rFonts w:eastAsia="Times New Roman"/>
          <w:b w:val="0"/>
        </w:rPr>
        <w:t>JAMA Intern Med</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https://doi.org/10.1001/jamainternmed.2020.2020. </w:t>
      </w:r>
    </w:p>
    <w:p w14:paraId="0DDAC43F"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Chandrashekar</w:t>
      </w:r>
      <w:proofErr w:type="spellEnd"/>
      <w:r w:rsidRPr="0008158F">
        <w:rPr>
          <w:rFonts w:eastAsia="Times New Roman"/>
        </w:rPr>
        <w:t xml:space="preserve"> A, Liu J, </w:t>
      </w:r>
      <w:proofErr w:type="spellStart"/>
      <w:r w:rsidRPr="0008158F">
        <w:rPr>
          <w:rFonts w:eastAsia="Times New Roman"/>
        </w:rPr>
        <w:t>Martinot</w:t>
      </w:r>
      <w:proofErr w:type="spellEnd"/>
      <w:r w:rsidRPr="0008158F">
        <w:rPr>
          <w:rFonts w:eastAsia="Times New Roman"/>
        </w:rPr>
        <w:t xml:space="preserve"> AJ, McMahan K, Mercado NB, Peter L et al. Deng W, Bao L, Liu J, Xiao C, Liu J, </w:t>
      </w:r>
      <w:proofErr w:type="spellStart"/>
      <w:r w:rsidRPr="0008158F">
        <w:rPr>
          <w:rFonts w:eastAsia="Times New Roman"/>
        </w:rPr>
        <w:t>Xue</w:t>
      </w:r>
      <w:proofErr w:type="spellEnd"/>
      <w:r w:rsidRPr="0008158F">
        <w:rPr>
          <w:rFonts w:eastAsia="Times New Roman"/>
        </w:rPr>
        <w:t xml:space="preserve"> J et al. SARS-CoV-2 infection protects against rechallenge in rhesus macaques. </w:t>
      </w:r>
      <w:r w:rsidRPr="0008158F">
        <w:rPr>
          <w:rStyle w:val="Emphasis"/>
          <w:rFonts w:eastAsia="Times New Roman"/>
          <w:b w:val="0"/>
        </w:rPr>
        <w:t>Science</w:t>
      </w:r>
      <w:r w:rsidRPr="0008158F">
        <w:rPr>
          <w:rFonts w:eastAsia="Times New Roman"/>
        </w:rPr>
        <w:t>. 2020</w:t>
      </w:r>
      <w:proofErr w:type="gramStart"/>
      <w:r w:rsidRPr="0008158F">
        <w:rPr>
          <w:rFonts w:eastAsia="Times New Roman"/>
        </w:rPr>
        <w:t>;eabc4776</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https://doi.org/10.1126/science.abc4776. </w:t>
      </w:r>
    </w:p>
    <w:p w14:paraId="1CA76FB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Deng W, Bao L, Liu J, Xiao C, Liu J, </w:t>
      </w:r>
      <w:proofErr w:type="spellStart"/>
      <w:r w:rsidRPr="0008158F">
        <w:rPr>
          <w:rFonts w:eastAsia="Times New Roman"/>
        </w:rPr>
        <w:t>Xue</w:t>
      </w:r>
      <w:proofErr w:type="spellEnd"/>
      <w:r w:rsidRPr="0008158F">
        <w:rPr>
          <w:rFonts w:eastAsia="Times New Roman"/>
        </w:rPr>
        <w:t xml:space="preserve"> J et al. Primary exposure to SARS-CoV-2 protects against reinfection in rhesus macaques. </w:t>
      </w:r>
      <w:r w:rsidRPr="0008158F">
        <w:rPr>
          <w:rStyle w:val="Emphasis"/>
          <w:rFonts w:eastAsia="Times New Roman"/>
          <w:b w:val="0"/>
        </w:rPr>
        <w:t>Science</w:t>
      </w:r>
      <w:r w:rsidRPr="0008158F">
        <w:rPr>
          <w:rFonts w:eastAsia="Times New Roman"/>
        </w:rPr>
        <w:t>. 2020</w:t>
      </w:r>
      <w:proofErr w:type="gramStart"/>
      <w:r w:rsidRPr="0008158F">
        <w:rPr>
          <w:rFonts w:eastAsia="Times New Roman"/>
        </w:rPr>
        <w:t>;eabc5343</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https://doi.org/10.1126/science.abc5343. </w:t>
      </w:r>
    </w:p>
    <w:p w14:paraId="5E76911B"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Seow</w:t>
      </w:r>
      <w:proofErr w:type="spellEnd"/>
      <w:r w:rsidRPr="0008158F">
        <w:rPr>
          <w:rFonts w:eastAsia="Times New Roman"/>
        </w:rPr>
        <w:t xml:space="preserve"> J, Graham C, Merrick B, </w:t>
      </w:r>
      <w:proofErr w:type="spellStart"/>
      <w:r w:rsidRPr="0008158F">
        <w:rPr>
          <w:rFonts w:eastAsia="Times New Roman"/>
        </w:rPr>
        <w:t>Acors</w:t>
      </w:r>
      <w:proofErr w:type="spellEnd"/>
      <w:r w:rsidRPr="0008158F">
        <w:rPr>
          <w:rFonts w:eastAsia="Times New Roman"/>
        </w:rPr>
        <w:t xml:space="preserve"> S, Steel KJA, </w:t>
      </w:r>
      <w:proofErr w:type="spellStart"/>
      <w:r w:rsidRPr="0008158F">
        <w:rPr>
          <w:rFonts w:eastAsia="Times New Roman"/>
        </w:rPr>
        <w:t>Hemmings</w:t>
      </w:r>
      <w:proofErr w:type="spellEnd"/>
      <w:r w:rsidRPr="0008158F">
        <w:rPr>
          <w:rFonts w:eastAsia="Times New Roman"/>
        </w:rPr>
        <w:t xml:space="preserve"> O et al. Longitudinal evaluation and decline of antibody responses in SARS-CoV-2 infection. </w:t>
      </w:r>
      <w:proofErr w:type="spellStart"/>
      <w:proofErr w:type="gramStart"/>
      <w:r w:rsidRPr="0008158F">
        <w:rPr>
          <w:rStyle w:val="Emphasis"/>
          <w:rFonts w:eastAsia="Times New Roman"/>
          <w:b w:val="0"/>
        </w:rPr>
        <w:t>medRxiv</w:t>
      </w:r>
      <w:proofErr w:type="spellEnd"/>
      <w:proofErr w:type="gram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https://doi.org/10.1101/2020.07.09.20148429. </w:t>
      </w:r>
    </w:p>
    <w:p w14:paraId="05A9A4C9"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Korea </w:t>
      </w:r>
      <w:proofErr w:type="spellStart"/>
      <w:r w:rsidRPr="0008158F">
        <w:rPr>
          <w:rFonts w:eastAsia="Times New Roman"/>
        </w:rPr>
        <w:t>Centers</w:t>
      </w:r>
      <w:proofErr w:type="spellEnd"/>
      <w:r w:rsidRPr="0008158F">
        <w:rPr>
          <w:rFonts w:eastAsia="Times New Roman"/>
        </w:rPr>
        <w:t xml:space="preserve"> for Disease Control and Prevention (KCDC). Division of risk assessment and international cooperation. Findings from investigation and analysis of re-positive cases. [Internet.] </w:t>
      </w:r>
      <w:proofErr w:type="spellStart"/>
      <w:r w:rsidRPr="0008158F">
        <w:rPr>
          <w:rFonts w:eastAsia="Times New Roman"/>
        </w:rPr>
        <w:t>Cheongju</w:t>
      </w:r>
      <w:proofErr w:type="spellEnd"/>
      <w:r w:rsidRPr="0008158F">
        <w:rPr>
          <w:rFonts w:eastAsia="Times New Roman"/>
        </w:rPr>
        <w:t xml:space="preserve">: Government of South Korea, KCDC; 2020. [Accessed on 24 May 2020.] Available from: https://www.cdc.go.kr/board/board.es?mid=a30402000000&amp;bid=0030&amp;act=view&amp;list_no=367267&amp;nPage=1. </w:t>
      </w:r>
    </w:p>
    <w:p w14:paraId="58235CA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Sun P, </w:t>
      </w:r>
      <w:proofErr w:type="spellStart"/>
      <w:r w:rsidRPr="0008158F">
        <w:rPr>
          <w:rFonts w:eastAsia="Times New Roman"/>
        </w:rPr>
        <w:t>Qie</w:t>
      </w:r>
      <w:proofErr w:type="spellEnd"/>
      <w:r w:rsidRPr="0008158F">
        <w:rPr>
          <w:rFonts w:eastAsia="Times New Roman"/>
        </w:rPr>
        <w:t xml:space="preserve"> S, Liu Z, Ren J, Li K, Xi JJ. Clinical characteristics of hospitalized patients with SARS-CoV-2 infection: A single arm meta-analysis. </w:t>
      </w:r>
      <w:r w:rsidRPr="0008158F">
        <w:rPr>
          <w:rStyle w:val="Emphasis"/>
          <w:rFonts w:eastAsia="Times New Roman"/>
          <w:b w:val="0"/>
        </w:rPr>
        <w:t xml:space="preserve">J Med </w:t>
      </w:r>
      <w:proofErr w:type="spellStart"/>
      <w:r w:rsidRPr="0008158F">
        <w:rPr>
          <w:rStyle w:val="Emphasis"/>
          <w:rFonts w:eastAsia="Times New Roman"/>
          <w:b w:val="0"/>
        </w:rPr>
        <w:t>Virol</w:t>
      </w:r>
      <w:proofErr w:type="spellEnd"/>
      <w:r w:rsidRPr="0008158F">
        <w:rPr>
          <w:rFonts w:eastAsia="Times New Roman"/>
        </w:rPr>
        <w:t>. 2020</w:t>
      </w:r>
      <w:proofErr w:type="gramStart"/>
      <w:r w:rsidRPr="0008158F">
        <w:rPr>
          <w:rFonts w:eastAsia="Times New Roman"/>
        </w:rPr>
        <w:t>;92</w:t>
      </w:r>
      <w:proofErr w:type="gramEnd"/>
      <w:r w:rsidRPr="0008158F">
        <w:rPr>
          <w:rFonts w:eastAsia="Times New Roman"/>
        </w:rPr>
        <w:t xml:space="preserve">(6):612–7. </w:t>
      </w:r>
      <w:proofErr w:type="spellStart"/>
      <w:proofErr w:type="gramStart"/>
      <w:r w:rsidRPr="0008158F">
        <w:rPr>
          <w:rFonts w:eastAsia="Times New Roman"/>
        </w:rPr>
        <w:t>doi</w:t>
      </w:r>
      <w:proofErr w:type="spellEnd"/>
      <w:proofErr w:type="gramEnd"/>
      <w:r w:rsidRPr="0008158F">
        <w:rPr>
          <w:rFonts w:eastAsia="Times New Roman"/>
        </w:rPr>
        <w:t xml:space="preserve">: https://doi.org/10.1002/jmv.25735. </w:t>
      </w:r>
    </w:p>
    <w:p w14:paraId="5FA758C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Li B, Bai W, </w:t>
      </w:r>
      <w:proofErr w:type="spellStart"/>
      <w:r w:rsidRPr="0008158F">
        <w:rPr>
          <w:rFonts w:eastAsia="Times New Roman"/>
        </w:rPr>
        <w:t>Hashikawa</w:t>
      </w:r>
      <w:proofErr w:type="spellEnd"/>
      <w:r w:rsidRPr="0008158F">
        <w:rPr>
          <w:rFonts w:eastAsia="Times New Roman"/>
        </w:rPr>
        <w:t xml:space="preserve"> T. The </w:t>
      </w:r>
      <w:proofErr w:type="spellStart"/>
      <w:r w:rsidRPr="0008158F">
        <w:rPr>
          <w:rFonts w:eastAsia="Times New Roman"/>
        </w:rPr>
        <w:t>neuroinvasive</w:t>
      </w:r>
      <w:proofErr w:type="spellEnd"/>
      <w:r w:rsidRPr="0008158F">
        <w:rPr>
          <w:rFonts w:eastAsia="Times New Roman"/>
        </w:rPr>
        <w:t xml:space="preserve"> potential of SARS-CoV-2 may be at least partially responsible for the respiratory failure of COVID-19 patients. </w:t>
      </w:r>
      <w:r w:rsidRPr="0008158F">
        <w:rPr>
          <w:rStyle w:val="Emphasis"/>
          <w:rFonts w:eastAsia="Times New Roman"/>
          <w:b w:val="0"/>
        </w:rPr>
        <w:t xml:space="preserve">J Med </w:t>
      </w:r>
      <w:proofErr w:type="spellStart"/>
      <w:r w:rsidRPr="0008158F">
        <w:rPr>
          <w:rStyle w:val="Emphasis"/>
          <w:rFonts w:eastAsia="Times New Roman"/>
          <w:b w:val="0"/>
        </w:rPr>
        <w:t>Virol</w:t>
      </w:r>
      <w:proofErr w:type="spell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https://doi.org/10.1002/jmv.25728. </w:t>
      </w:r>
    </w:p>
    <w:p w14:paraId="320499EA"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Mao L, </w:t>
      </w:r>
      <w:proofErr w:type="spellStart"/>
      <w:r w:rsidRPr="0008158F">
        <w:rPr>
          <w:rFonts w:eastAsia="Times New Roman"/>
        </w:rPr>
        <w:t>Jin</w:t>
      </w:r>
      <w:proofErr w:type="spellEnd"/>
      <w:r w:rsidRPr="0008158F">
        <w:rPr>
          <w:rFonts w:eastAsia="Times New Roman"/>
        </w:rPr>
        <w:t xml:space="preserve"> H, Wang M, Hu Y, Chen S, He Q et al. Neurological manifestations of hospitalized patients with coronavirus disease 2019 in Wuhan, China. </w:t>
      </w:r>
      <w:r w:rsidRPr="0008158F">
        <w:rPr>
          <w:rStyle w:val="Emphasis"/>
          <w:rFonts w:eastAsia="Times New Roman"/>
          <w:b w:val="0"/>
        </w:rPr>
        <w:t>JAMA Neurol</w:t>
      </w:r>
      <w:r w:rsidRPr="0008158F">
        <w:rPr>
          <w:rFonts w:eastAsia="Times New Roman"/>
        </w:rPr>
        <w:t>. 2020</w:t>
      </w:r>
      <w:proofErr w:type="gramStart"/>
      <w:r w:rsidRPr="0008158F">
        <w:rPr>
          <w:rFonts w:eastAsia="Times New Roman"/>
        </w:rPr>
        <w:t>;e201127</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https://doi.org/10.1001/jamaneurol.2020.1127. </w:t>
      </w:r>
    </w:p>
    <w:p w14:paraId="75916984" w14:textId="77777777" w:rsidR="00FE4DEF" w:rsidRPr="0008158F" w:rsidRDefault="00FE4DEF" w:rsidP="0008158F">
      <w:pPr>
        <w:pStyle w:val="ListParagraph"/>
        <w:numPr>
          <w:ilvl w:val="0"/>
          <w:numId w:val="13"/>
        </w:numPr>
        <w:rPr>
          <w:rFonts w:eastAsia="Times New Roman"/>
        </w:rPr>
      </w:pPr>
      <w:r w:rsidRPr="0008158F">
        <w:rPr>
          <w:rFonts w:eastAsia="Times New Roman"/>
        </w:rPr>
        <w:lastRenderedPageBreak/>
        <w:t xml:space="preserve">Drew DA, Nguyen LH, </w:t>
      </w:r>
      <w:proofErr w:type="spellStart"/>
      <w:r w:rsidRPr="0008158F">
        <w:rPr>
          <w:rFonts w:eastAsia="Times New Roman"/>
        </w:rPr>
        <w:t>Steves</w:t>
      </w:r>
      <w:proofErr w:type="spellEnd"/>
      <w:r w:rsidRPr="0008158F">
        <w:rPr>
          <w:rFonts w:eastAsia="Times New Roman"/>
        </w:rPr>
        <w:t xml:space="preserve"> CJ, </w:t>
      </w:r>
      <w:proofErr w:type="spellStart"/>
      <w:r w:rsidRPr="0008158F">
        <w:rPr>
          <w:rFonts w:eastAsia="Times New Roman"/>
        </w:rPr>
        <w:t>Menni</w:t>
      </w:r>
      <w:proofErr w:type="spellEnd"/>
      <w:r w:rsidRPr="0008158F">
        <w:rPr>
          <w:rFonts w:eastAsia="Times New Roman"/>
        </w:rPr>
        <w:t xml:space="preserve"> C, </w:t>
      </w:r>
      <w:proofErr w:type="spellStart"/>
      <w:r w:rsidRPr="0008158F">
        <w:rPr>
          <w:rFonts w:eastAsia="Times New Roman"/>
        </w:rPr>
        <w:t>Freydin</w:t>
      </w:r>
      <w:proofErr w:type="spellEnd"/>
      <w:r w:rsidRPr="0008158F">
        <w:rPr>
          <w:rFonts w:eastAsia="Times New Roman"/>
        </w:rPr>
        <w:t xml:space="preserve"> M, </w:t>
      </w:r>
      <w:proofErr w:type="spellStart"/>
      <w:r w:rsidRPr="0008158F">
        <w:rPr>
          <w:rFonts w:eastAsia="Times New Roman"/>
        </w:rPr>
        <w:t>Varsavsky</w:t>
      </w:r>
      <w:proofErr w:type="spellEnd"/>
      <w:r w:rsidRPr="0008158F">
        <w:rPr>
          <w:rFonts w:eastAsia="Times New Roman"/>
        </w:rPr>
        <w:t xml:space="preserve"> T et al. Rapid implementation of mobile technology for real-time epidemiology of COVID-19. </w:t>
      </w:r>
      <w:r w:rsidRPr="0008158F">
        <w:rPr>
          <w:rStyle w:val="Emphasis"/>
          <w:rFonts w:eastAsia="Times New Roman"/>
          <w:b w:val="0"/>
        </w:rPr>
        <w:t>Science</w:t>
      </w:r>
      <w:r w:rsidRPr="0008158F">
        <w:rPr>
          <w:rFonts w:eastAsia="Times New Roman"/>
        </w:rPr>
        <w:t>. 2020</w:t>
      </w:r>
      <w:proofErr w:type="gramStart"/>
      <w:r w:rsidRPr="0008158F">
        <w:rPr>
          <w:rFonts w:eastAsia="Times New Roman"/>
        </w:rPr>
        <w:t>;368</w:t>
      </w:r>
      <w:proofErr w:type="gramEnd"/>
      <w:r w:rsidRPr="0008158F">
        <w:rPr>
          <w:rFonts w:eastAsia="Times New Roman"/>
        </w:rPr>
        <w:t xml:space="preserve">(6497):1362–7. </w:t>
      </w:r>
      <w:proofErr w:type="spellStart"/>
      <w:proofErr w:type="gramStart"/>
      <w:r w:rsidRPr="0008158F">
        <w:rPr>
          <w:rFonts w:eastAsia="Times New Roman"/>
        </w:rPr>
        <w:t>doi</w:t>
      </w:r>
      <w:proofErr w:type="spellEnd"/>
      <w:proofErr w:type="gramEnd"/>
      <w:r w:rsidRPr="0008158F">
        <w:rPr>
          <w:rFonts w:eastAsia="Times New Roman"/>
        </w:rPr>
        <w:t xml:space="preserve">: https://doi.org/10.1126/science.abc0473. </w:t>
      </w:r>
    </w:p>
    <w:p w14:paraId="6689E00A"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Ellul</w:t>
      </w:r>
      <w:proofErr w:type="spellEnd"/>
      <w:r w:rsidRPr="0008158F">
        <w:rPr>
          <w:rFonts w:eastAsia="Times New Roman"/>
        </w:rPr>
        <w:t xml:space="preserve"> MA, Benjamin L, Singh </w:t>
      </w:r>
      <w:proofErr w:type="spellStart"/>
      <w:r w:rsidRPr="0008158F">
        <w:rPr>
          <w:rFonts w:eastAsia="Times New Roman"/>
        </w:rPr>
        <w:t>B,Lant</w:t>
      </w:r>
      <w:proofErr w:type="spellEnd"/>
      <w:r w:rsidRPr="0008158F">
        <w:rPr>
          <w:rFonts w:eastAsia="Times New Roman"/>
        </w:rPr>
        <w:t xml:space="preserve"> S, Michael BD, Easton A et al. Neurological associations of COVID-19. </w:t>
      </w:r>
      <w:r w:rsidRPr="0008158F">
        <w:rPr>
          <w:rStyle w:val="Emphasis"/>
          <w:rFonts w:eastAsia="Times New Roman"/>
          <w:b w:val="0"/>
        </w:rPr>
        <w:t>Lancet Neurol</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https://doi.org/10.1016/S1474-4422(20)30221-0. </w:t>
      </w:r>
    </w:p>
    <w:p w14:paraId="5264DFD6"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Venkatakrishnan</w:t>
      </w:r>
      <w:proofErr w:type="spellEnd"/>
      <w:r w:rsidRPr="0008158F">
        <w:rPr>
          <w:rFonts w:eastAsia="Times New Roman"/>
        </w:rPr>
        <w:t xml:space="preserve"> AJ, </w:t>
      </w:r>
      <w:proofErr w:type="spellStart"/>
      <w:r w:rsidRPr="0008158F">
        <w:rPr>
          <w:rFonts w:eastAsia="Times New Roman"/>
        </w:rPr>
        <w:t>Puranik</w:t>
      </w:r>
      <w:proofErr w:type="spellEnd"/>
      <w:r w:rsidRPr="0008158F">
        <w:rPr>
          <w:rFonts w:eastAsia="Times New Roman"/>
        </w:rPr>
        <w:t xml:space="preserve"> A, </w:t>
      </w:r>
      <w:proofErr w:type="spellStart"/>
      <w:r w:rsidRPr="0008158F">
        <w:rPr>
          <w:rFonts w:eastAsia="Times New Roman"/>
        </w:rPr>
        <w:t>Anand</w:t>
      </w:r>
      <w:proofErr w:type="spellEnd"/>
      <w:r w:rsidRPr="0008158F">
        <w:rPr>
          <w:rFonts w:eastAsia="Times New Roman"/>
        </w:rPr>
        <w:t xml:space="preserve"> A, </w:t>
      </w:r>
      <w:proofErr w:type="spellStart"/>
      <w:r w:rsidRPr="0008158F">
        <w:rPr>
          <w:rFonts w:eastAsia="Times New Roman"/>
        </w:rPr>
        <w:t>Zemmour</w:t>
      </w:r>
      <w:proofErr w:type="spellEnd"/>
      <w:r w:rsidRPr="0008158F">
        <w:rPr>
          <w:rFonts w:eastAsia="Times New Roman"/>
        </w:rPr>
        <w:t xml:space="preserve"> D, Yao X, Wu X et al. Knowledge synthesis of 100 million biomedical documents augments the deep expression profiling of coronavirus receptors. </w:t>
      </w:r>
      <w:proofErr w:type="spellStart"/>
      <w:r w:rsidRPr="0008158F">
        <w:rPr>
          <w:rStyle w:val="Emphasis"/>
          <w:rFonts w:eastAsia="Times New Roman"/>
          <w:b w:val="0"/>
        </w:rPr>
        <w:t>Elife</w:t>
      </w:r>
      <w:proofErr w:type="spellEnd"/>
      <w:r w:rsidRPr="0008158F">
        <w:rPr>
          <w:rFonts w:eastAsia="Times New Roman"/>
        </w:rPr>
        <w:t>. 2020</w:t>
      </w:r>
      <w:proofErr w:type="gramStart"/>
      <w:r w:rsidRPr="0008158F">
        <w:rPr>
          <w:rFonts w:eastAsia="Times New Roman"/>
        </w:rPr>
        <w:t>;9:e58040</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https://doi.org/10.7554/eLife.58040. </w:t>
      </w:r>
    </w:p>
    <w:p w14:paraId="02EBE66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Brann DH, </w:t>
      </w:r>
      <w:proofErr w:type="spellStart"/>
      <w:r w:rsidRPr="0008158F">
        <w:rPr>
          <w:rFonts w:eastAsia="Times New Roman"/>
        </w:rPr>
        <w:t>Tsukahara</w:t>
      </w:r>
      <w:proofErr w:type="spellEnd"/>
      <w:r w:rsidRPr="0008158F">
        <w:rPr>
          <w:rFonts w:eastAsia="Times New Roman"/>
        </w:rPr>
        <w:t xml:space="preserve"> T, </w:t>
      </w:r>
      <w:proofErr w:type="spellStart"/>
      <w:r w:rsidRPr="0008158F">
        <w:rPr>
          <w:rFonts w:eastAsia="Times New Roman"/>
        </w:rPr>
        <w:t>Weinreb</w:t>
      </w:r>
      <w:proofErr w:type="spellEnd"/>
      <w:r w:rsidRPr="0008158F">
        <w:rPr>
          <w:rFonts w:eastAsia="Times New Roman"/>
        </w:rPr>
        <w:t xml:space="preserve"> C, </w:t>
      </w:r>
      <w:proofErr w:type="spellStart"/>
      <w:r w:rsidRPr="0008158F">
        <w:rPr>
          <w:rFonts w:eastAsia="Times New Roman"/>
        </w:rPr>
        <w:t>Lipovsek</w:t>
      </w:r>
      <w:proofErr w:type="spellEnd"/>
      <w:r w:rsidRPr="0008158F">
        <w:rPr>
          <w:rFonts w:eastAsia="Times New Roman"/>
        </w:rPr>
        <w:t xml:space="preserve"> M, Van den Berge K, Gong B et al. Non-neural expression of SARS-CoV-2 entry genes in the olfactory epithelium suggests mechanisms underlying anosmia in COVID-19 patients. </w:t>
      </w:r>
      <w:proofErr w:type="spellStart"/>
      <w:r w:rsidRPr="0008158F">
        <w:rPr>
          <w:rStyle w:val="Emphasis"/>
          <w:rFonts w:eastAsia="Times New Roman"/>
          <w:b w:val="0"/>
        </w:rPr>
        <w:t>Sci</w:t>
      </w:r>
      <w:proofErr w:type="spellEnd"/>
      <w:r w:rsidRPr="0008158F">
        <w:rPr>
          <w:rStyle w:val="Emphasis"/>
          <w:rFonts w:eastAsia="Times New Roman"/>
          <w:b w:val="0"/>
        </w:rPr>
        <w:t xml:space="preserve"> Adv</w:t>
      </w:r>
      <w:r w:rsidRPr="0008158F">
        <w:rPr>
          <w:rFonts w:eastAsia="Times New Roman"/>
        </w:rPr>
        <w:t>. 2020</w:t>
      </w:r>
      <w:proofErr w:type="gramStart"/>
      <w:r w:rsidRPr="0008158F">
        <w:rPr>
          <w:rFonts w:eastAsia="Times New Roman"/>
        </w:rPr>
        <w:t>;6</w:t>
      </w:r>
      <w:proofErr w:type="gramEnd"/>
      <w:r w:rsidRPr="0008158F">
        <w:rPr>
          <w:rFonts w:eastAsia="Times New Roman"/>
        </w:rPr>
        <w:t xml:space="preserve">(31):eabc5801. </w:t>
      </w:r>
      <w:proofErr w:type="spellStart"/>
      <w:proofErr w:type="gramStart"/>
      <w:r w:rsidRPr="0008158F">
        <w:rPr>
          <w:rFonts w:eastAsia="Times New Roman"/>
        </w:rPr>
        <w:t>doi</w:t>
      </w:r>
      <w:proofErr w:type="spellEnd"/>
      <w:proofErr w:type="gramEnd"/>
      <w:r w:rsidRPr="0008158F">
        <w:rPr>
          <w:rFonts w:eastAsia="Times New Roman"/>
        </w:rPr>
        <w:t xml:space="preserve">: https://doi.org/10.1126/sciadv.abc5801. </w:t>
      </w:r>
    </w:p>
    <w:p w14:paraId="2EF349E6"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Inciardi</w:t>
      </w:r>
      <w:proofErr w:type="spellEnd"/>
      <w:r w:rsidRPr="0008158F">
        <w:rPr>
          <w:rFonts w:eastAsia="Times New Roman"/>
        </w:rPr>
        <w:t xml:space="preserve"> RM, </w:t>
      </w:r>
      <w:proofErr w:type="spellStart"/>
      <w:r w:rsidRPr="0008158F">
        <w:rPr>
          <w:rFonts w:eastAsia="Times New Roman"/>
        </w:rPr>
        <w:t>Lupi</w:t>
      </w:r>
      <w:proofErr w:type="spellEnd"/>
      <w:r w:rsidRPr="0008158F">
        <w:rPr>
          <w:rFonts w:eastAsia="Times New Roman"/>
        </w:rPr>
        <w:t xml:space="preserve"> L, </w:t>
      </w:r>
      <w:proofErr w:type="spellStart"/>
      <w:r w:rsidRPr="0008158F">
        <w:rPr>
          <w:rFonts w:eastAsia="Times New Roman"/>
        </w:rPr>
        <w:t>Zaccone</w:t>
      </w:r>
      <w:proofErr w:type="spellEnd"/>
      <w:r w:rsidRPr="0008158F">
        <w:rPr>
          <w:rFonts w:eastAsia="Times New Roman"/>
        </w:rPr>
        <w:t xml:space="preserve"> G, Italia L, </w:t>
      </w:r>
      <w:proofErr w:type="spellStart"/>
      <w:r w:rsidRPr="0008158F">
        <w:rPr>
          <w:rFonts w:eastAsia="Times New Roman"/>
        </w:rPr>
        <w:t>Raffo</w:t>
      </w:r>
      <w:proofErr w:type="spellEnd"/>
      <w:r w:rsidRPr="0008158F">
        <w:rPr>
          <w:rFonts w:eastAsia="Times New Roman"/>
        </w:rPr>
        <w:t xml:space="preserve"> M, </w:t>
      </w:r>
      <w:proofErr w:type="spellStart"/>
      <w:r w:rsidRPr="0008158F">
        <w:rPr>
          <w:rFonts w:eastAsia="Times New Roman"/>
        </w:rPr>
        <w:t>Tomasoni</w:t>
      </w:r>
      <w:proofErr w:type="spellEnd"/>
      <w:r w:rsidRPr="0008158F">
        <w:rPr>
          <w:rFonts w:eastAsia="Times New Roman"/>
        </w:rPr>
        <w:t xml:space="preserve"> D et al. Cardiac involvement in a patient with coronavirus disease 2019 (COVID-19). </w:t>
      </w:r>
      <w:r w:rsidRPr="0008158F">
        <w:rPr>
          <w:rStyle w:val="Emphasis"/>
          <w:rFonts w:eastAsia="Times New Roman"/>
          <w:b w:val="0"/>
        </w:rPr>
        <w:t xml:space="preserve">JAMA </w:t>
      </w:r>
      <w:proofErr w:type="spellStart"/>
      <w:r w:rsidRPr="0008158F">
        <w:rPr>
          <w:rStyle w:val="Emphasis"/>
          <w:rFonts w:eastAsia="Times New Roman"/>
          <w:b w:val="0"/>
        </w:rPr>
        <w:t>Cardiol</w:t>
      </w:r>
      <w:proofErr w:type="spell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https://doi.org/10.1001/jamacardio.2020.1096. </w:t>
      </w:r>
    </w:p>
    <w:p w14:paraId="4666CAC8"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Guo</w:t>
      </w:r>
      <w:proofErr w:type="spellEnd"/>
      <w:r w:rsidRPr="0008158F">
        <w:rPr>
          <w:rFonts w:eastAsia="Times New Roman"/>
        </w:rPr>
        <w:t xml:space="preserve"> T, Fan Y, Chen M, Wu X, Zhang L, He T et al. Cardiovascular implications of fatal outcomes of patients with coronavirus disease 2019 (COVID-19). </w:t>
      </w:r>
      <w:r w:rsidRPr="0008158F">
        <w:rPr>
          <w:rStyle w:val="Emphasis"/>
          <w:rFonts w:eastAsia="Times New Roman"/>
          <w:b w:val="0"/>
        </w:rPr>
        <w:t xml:space="preserve">JAMA </w:t>
      </w:r>
      <w:proofErr w:type="spellStart"/>
      <w:r w:rsidRPr="0008158F">
        <w:rPr>
          <w:rStyle w:val="Emphasis"/>
          <w:rFonts w:eastAsia="Times New Roman"/>
          <w:b w:val="0"/>
        </w:rPr>
        <w:t>Cardiol</w:t>
      </w:r>
      <w:proofErr w:type="spell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https://doi.org/10.1001/jamacardio.2020.1017. </w:t>
      </w:r>
    </w:p>
    <w:p w14:paraId="707E3D69"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Madjid</w:t>
      </w:r>
      <w:proofErr w:type="spellEnd"/>
      <w:r w:rsidRPr="0008158F">
        <w:rPr>
          <w:rFonts w:eastAsia="Times New Roman"/>
        </w:rPr>
        <w:t xml:space="preserve"> M, </w:t>
      </w:r>
      <w:proofErr w:type="spellStart"/>
      <w:r w:rsidRPr="0008158F">
        <w:rPr>
          <w:rFonts w:eastAsia="Times New Roman"/>
        </w:rPr>
        <w:t>Safavi-Naeini</w:t>
      </w:r>
      <w:proofErr w:type="spellEnd"/>
      <w:r w:rsidRPr="0008158F">
        <w:rPr>
          <w:rFonts w:eastAsia="Times New Roman"/>
        </w:rPr>
        <w:t xml:space="preserve"> P, Solomon SD, </w:t>
      </w:r>
      <w:proofErr w:type="spellStart"/>
      <w:r w:rsidRPr="0008158F">
        <w:rPr>
          <w:rFonts w:eastAsia="Times New Roman"/>
        </w:rPr>
        <w:t>Vardeny</w:t>
      </w:r>
      <w:proofErr w:type="spellEnd"/>
      <w:r w:rsidRPr="0008158F">
        <w:rPr>
          <w:rFonts w:eastAsia="Times New Roman"/>
        </w:rPr>
        <w:t xml:space="preserve"> O. Potential effects of coronaviruses on the cardiovascular system: a review. </w:t>
      </w:r>
      <w:r w:rsidRPr="0008158F">
        <w:rPr>
          <w:rStyle w:val="Emphasis"/>
          <w:rFonts w:eastAsia="Times New Roman"/>
          <w:b w:val="0"/>
        </w:rPr>
        <w:t xml:space="preserve">JAMA </w:t>
      </w:r>
      <w:proofErr w:type="spellStart"/>
      <w:r w:rsidRPr="0008158F">
        <w:rPr>
          <w:rStyle w:val="Emphasis"/>
          <w:rFonts w:eastAsia="Times New Roman"/>
          <w:b w:val="0"/>
        </w:rPr>
        <w:t>Cardiol</w:t>
      </w:r>
      <w:proofErr w:type="spell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https://doi.org/10.1001/jamacardio.2020.1286. </w:t>
      </w:r>
    </w:p>
    <w:p w14:paraId="3606CE6B"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Riphagen</w:t>
      </w:r>
      <w:proofErr w:type="spellEnd"/>
      <w:r w:rsidRPr="0008158F">
        <w:rPr>
          <w:rFonts w:eastAsia="Times New Roman"/>
        </w:rPr>
        <w:t xml:space="preserve"> S, Gomez X, Gonzalez-Martinez C, Wilkinson N, </w:t>
      </w:r>
      <w:proofErr w:type="spellStart"/>
      <w:r w:rsidRPr="0008158F">
        <w:rPr>
          <w:rFonts w:eastAsia="Times New Roman"/>
        </w:rPr>
        <w:t>Theocharis</w:t>
      </w:r>
      <w:proofErr w:type="spellEnd"/>
      <w:r w:rsidRPr="0008158F">
        <w:rPr>
          <w:rFonts w:eastAsia="Times New Roman"/>
        </w:rPr>
        <w:t xml:space="preserve"> P. </w:t>
      </w:r>
      <w:proofErr w:type="spellStart"/>
      <w:r w:rsidRPr="0008158F">
        <w:rPr>
          <w:rFonts w:eastAsia="Times New Roman"/>
        </w:rPr>
        <w:t>Hyperinflammatory</w:t>
      </w:r>
      <w:proofErr w:type="spellEnd"/>
      <w:r w:rsidRPr="0008158F">
        <w:rPr>
          <w:rFonts w:eastAsia="Times New Roman"/>
        </w:rPr>
        <w:t xml:space="preserve"> shock in children during COVID-19 pandemic. </w:t>
      </w:r>
      <w:r w:rsidRPr="0008158F">
        <w:rPr>
          <w:rStyle w:val="Emphasis"/>
          <w:rFonts w:eastAsia="Times New Roman"/>
          <w:b w:val="0"/>
        </w:rPr>
        <w:t>Lancet</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https://doi.org/10.1016/S0140-6736(20)31094-1. </w:t>
      </w:r>
    </w:p>
    <w:p w14:paraId="3E29C0A7" w14:textId="77777777" w:rsidR="00FE4DEF" w:rsidRPr="0008158F" w:rsidRDefault="00FE4DEF" w:rsidP="0008158F">
      <w:pPr>
        <w:pStyle w:val="ListParagraph"/>
        <w:numPr>
          <w:ilvl w:val="0"/>
          <w:numId w:val="13"/>
        </w:numPr>
        <w:rPr>
          <w:rFonts w:eastAsia="Times New Roman"/>
        </w:rPr>
      </w:pPr>
      <w:proofErr w:type="spellStart"/>
      <w:r w:rsidRPr="0008158F">
        <w:rPr>
          <w:rFonts w:eastAsia="Times New Roman"/>
        </w:rPr>
        <w:t>Morand</w:t>
      </w:r>
      <w:proofErr w:type="spellEnd"/>
      <w:r w:rsidRPr="0008158F">
        <w:rPr>
          <w:rFonts w:eastAsia="Times New Roman"/>
        </w:rPr>
        <w:t xml:space="preserve"> A, Urbina D, Fabre A. COVID-19 and Kawasaki like disease: the known-known, the unknown-known and the unknown-unknown. </w:t>
      </w:r>
      <w:r w:rsidRPr="0008158F">
        <w:rPr>
          <w:rStyle w:val="Emphasis"/>
          <w:rFonts w:eastAsia="Times New Roman"/>
          <w:b w:val="0"/>
        </w:rPr>
        <w:t>Preprints</w:t>
      </w:r>
      <w:r w:rsidRPr="0008158F">
        <w:rPr>
          <w:rFonts w:eastAsia="Times New Roman"/>
        </w:rPr>
        <w:t>. 2020</w:t>
      </w:r>
      <w:proofErr w:type="gramStart"/>
      <w:r w:rsidRPr="0008158F">
        <w:rPr>
          <w:rFonts w:eastAsia="Times New Roman"/>
        </w:rPr>
        <w:t>;2020050160</w:t>
      </w:r>
      <w:proofErr w:type="gramEnd"/>
      <w:r w:rsidRPr="0008158F">
        <w:rPr>
          <w:rFonts w:eastAsia="Times New Roman"/>
        </w:rPr>
        <w:t xml:space="preserve">. </w:t>
      </w:r>
      <w:proofErr w:type="spellStart"/>
      <w:proofErr w:type="gramStart"/>
      <w:r w:rsidRPr="0008158F">
        <w:rPr>
          <w:rFonts w:eastAsia="Times New Roman"/>
        </w:rPr>
        <w:t>doi</w:t>
      </w:r>
      <w:proofErr w:type="spellEnd"/>
      <w:proofErr w:type="gramEnd"/>
      <w:r w:rsidRPr="0008158F">
        <w:rPr>
          <w:rFonts w:eastAsia="Times New Roman"/>
        </w:rPr>
        <w:t xml:space="preserve">: https://doi.org/10.20944/preprints202005.0160.v1. </w:t>
      </w:r>
    </w:p>
    <w:p w14:paraId="62D0A214" w14:textId="77777777" w:rsidR="00FE4DEF" w:rsidRPr="0008158F" w:rsidRDefault="00FE4DEF" w:rsidP="0008158F">
      <w:pPr>
        <w:pStyle w:val="ListParagraph"/>
        <w:numPr>
          <w:ilvl w:val="0"/>
          <w:numId w:val="13"/>
        </w:numPr>
        <w:rPr>
          <w:rFonts w:eastAsia="Times New Roman"/>
        </w:rPr>
      </w:pPr>
      <w:r w:rsidRPr="0008158F">
        <w:rPr>
          <w:rFonts w:eastAsia="Times New Roman"/>
        </w:rPr>
        <w:t>WHO. Clinical management of severe acute respiratory infection when novel coronavirus (</w:t>
      </w:r>
      <w:proofErr w:type="spellStart"/>
      <w:r w:rsidRPr="0008158F">
        <w:rPr>
          <w:rFonts w:eastAsia="Times New Roman"/>
        </w:rPr>
        <w:t>nCoV</w:t>
      </w:r>
      <w:proofErr w:type="spellEnd"/>
      <w:r w:rsidRPr="0008158F">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14:paraId="78E6CA2E"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Harrison C. Coronavirus puts drug re-purposing on the fast track. </w:t>
      </w:r>
      <w:r w:rsidRPr="0008158F">
        <w:rPr>
          <w:rStyle w:val="Emphasis"/>
          <w:rFonts w:eastAsia="Times New Roman"/>
          <w:b w:val="0"/>
        </w:rPr>
        <w:t xml:space="preserve">Nat </w:t>
      </w:r>
      <w:proofErr w:type="spellStart"/>
      <w:r w:rsidRPr="0008158F">
        <w:rPr>
          <w:rStyle w:val="Emphasis"/>
          <w:rFonts w:eastAsia="Times New Roman"/>
          <w:b w:val="0"/>
        </w:rPr>
        <w:t>Biotechnol</w:t>
      </w:r>
      <w:proofErr w:type="spellEnd"/>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https://doi.org/10.1038/d41587-020-00003-1. </w:t>
      </w:r>
    </w:p>
    <w:p w14:paraId="48E73CA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Wang M, Cao R, Zhang L, Yang X, Liu J, Xu M et al. </w:t>
      </w:r>
      <w:proofErr w:type="spellStart"/>
      <w:r w:rsidRPr="0008158F">
        <w:rPr>
          <w:rFonts w:eastAsia="Times New Roman"/>
        </w:rPr>
        <w:t>Remdesivir</w:t>
      </w:r>
      <w:proofErr w:type="spellEnd"/>
      <w:r w:rsidRPr="0008158F">
        <w:rPr>
          <w:rFonts w:eastAsia="Times New Roman"/>
        </w:rPr>
        <w:t xml:space="preserve"> and chloroquine effectively inhibit the recently emerged novel coronavirus (2019-nCoV) in vitro. </w:t>
      </w:r>
      <w:r w:rsidRPr="0008158F">
        <w:rPr>
          <w:rStyle w:val="Emphasis"/>
          <w:rFonts w:eastAsia="Times New Roman"/>
          <w:b w:val="0"/>
        </w:rPr>
        <w:t>Cell Research</w:t>
      </w:r>
      <w:r w:rsidRPr="0008158F">
        <w:rPr>
          <w:rFonts w:eastAsia="Times New Roman"/>
        </w:rPr>
        <w:t>. 2020</w:t>
      </w:r>
      <w:proofErr w:type="gramStart"/>
      <w:r w:rsidRPr="0008158F">
        <w:rPr>
          <w:rFonts w:eastAsia="Times New Roman"/>
        </w:rPr>
        <w:t>;30</w:t>
      </w:r>
      <w:proofErr w:type="gramEnd"/>
      <w:r w:rsidRPr="0008158F">
        <w:rPr>
          <w:rFonts w:eastAsia="Times New Roman"/>
        </w:rPr>
        <w:t xml:space="preserve">;269–71. </w:t>
      </w:r>
    </w:p>
    <w:p w14:paraId="6A0E828B"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Tang W, Cao Z, Han M, Wang Z, Chen W, </w:t>
      </w:r>
      <w:proofErr w:type="gramStart"/>
      <w:r w:rsidRPr="0008158F">
        <w:rPr>
          <w:rFonts w:eastAsia="Times New Roman"/>
        </w:rPr>
        <w:t>Sun</w:t>
      </w:r>
      <w:proofErr w:type="gramEnd"/>
      <w:r w:rsidRPr="0008158F">
        <w:rPr>
          <w:rFonts w:eastAsia="Times New Roman"/>
        </w:rPr>
        <w:t xml:space="preserve"> W et al. </w:t>
      </w:r>
      <w:proofErr w:type="spellStart"/>
      <w:r w:rsidRPr="0008158F">
        <w:rPr>
          <w:rFonts w:eastAsia="Times New Roman"/>
        </w:rPr>
        <w:t>Hydroxychloroquine</w:t>
      </w:r>
      <w:proofErr w:type="spellEnd"/>
      <w:r w:rsidRPr="0008158F">
        <w:rPr>
          <w:rFonts w:eastAsia="Times New Roman"/>
        </w:rPr>
        <w:t xml:space="preserve"> in patients with mainly mild to moderate coronavirus disease 2019: open label, randomised controlled trial. </w:t>
      </w:r>
      <w:r w:rsidRPr="0008158F">
        <w:rPr>
          <w:rStyle w:val="Emphasis"/>
          <w:rFonts w:eastAsia="Times New Roman"/>
          <w:b w:val="0"/>
        </w:rPr>
        <w:t>BMJ</w:t>
      </w:r>
      <w:r w:rsidRPr="0008158F">
        <w:rPr>
          <w:rFonts w:eastAsia="Times New Roman"/>
        </w:rPr>
        <w:t xml:space="preserve">. 2020. </w:t>
      </w:r>
      <w:proofErr w:type="spellStart"/>
      <w:proofErr w:type="gramStart"/>
      <w:r w:rsidRPr="0008158F">
        <w:rPr>
          <w:rFonts w:eastAsia="Times New Roman"/>
        </w:rPr>
        <w:t>doi</w:t>
      </w:r>
      <w:proofErr w:type="spellEnd"/>
      <w:proofErr w:type="gramEnd"/>
      <w:r w:rsidRPr="0008158F">
        <w:rPr>
          <w:rFonts w:eastAsia="Times New Roman"/>
        </w:rPr>
        <w:t xml:space="preserve">: https://doi.org/10.1136/bmj.m1849. </w:t>
      </w:r>
    </w:p>
    <w:p w14:paraId="49B3115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Cao B, Wang Y, Wen D, Liu W, Wang J, Fan G et al. A trial of </w:t>
      </w:r>
      <w:proofErr w:type="spellStart"/>
      <w:r w:rsidRPr="0008158F">
        <w:rPr>
          <w:rFonts w:eastAsia="Times New Roman"/>
        </w:rPr>
        <w:t>lopinavir</w:t>
      </w:r>
      <w:proofErr w:type="spellEnd"/>
      <w:r w:rsidRPr="0008158F">
        <w:rPr>
          <w:rFonts w:eastAsia="Times New Roman"/>
        </w:rPr>
        <w:t>–ritonavir in adults hospitalized with severe Covid-19.</w:t>
      </w:r>
      <w:r w:rsidRPr="0008158F">
        <w:rPr>
          <w:rStyle w:val="Emphasis"/>
          <w:rFonts w:eastAsia="Times New Roman"/>
          <w:b w:val="0"/>
        </w:rPr>
        <w:t xml:space="preserve"> N </w:t>
      </w:r>
      <w:proofErr w:type="spellStart"/>
      <w:r w:rsidRPr="0008158F">
        <w:rPr>
          <w:rStyle w:val="Emphasis"/>
          <w:rFonts w:eastAsia="Times New Roman"/>
          <w:b w:val="0"/>
        </w:rPr>
        <w:t>Engl</w:t>
      </w:r>
      <w:proofErr w:type="spellEnd"/>
      <w:r w:rsidRPr="0008158F">
        <w:rPr>
          <w:rStyle w:val="Emphasis"/>
          <w:rFonts w:eastAsia="Times New Roman"/>
          <w:b w:val="0"/>
        </w:rPr>
        <w:t xml:space="preserve"> J Med</w:t>
      </w:r>
      <w:r w:rsidRPr="0008158F">
        <w:rPr>
          <w:rFonts w:eastAsia="Times New Roman"/>
        </w:rPr>
        <w:t>. 2020</w:t>
      </w:r>
      <w:proofErr w:type="gramStart"/>
      <w:r w:rsidRPr="0008158F">
        <w:rPr>
          <w:rFonts w:eastAsia="Times New Roman"/>
        </w:rPr>
        <w:t>;382:1787</w:t>
      </w:r>
      <w:proofErr w:type="gramEnd"/>
      <w:r w:rsidRPr="0008158F">
        <w:rPr>
          <w:rFonts w:eastAsia="Times New Roman"/>
        </w:rPr>
        <w:t xml:space="preserve">–99. </w:t>
      </w:r>
    </w:p>
    <w:p w14:paraId="75AC562B" w14:textId="77777777" w:rsidR="00FE4DEF" w:rsidRPr="0008158F" w:rsidRDefault="00FE4DEF" w:rsidP="0008158F">
      <w:pPr>
        <w:pStyle w:val="ListParagraph"/>
        <w:numPr>
          <w:ilvl w:val="0"/>
          <w:numId w:val="13"/>
        </w:numPr>
        <w:rPr>
          <w:rFonts w:eastAsia="Times New Roman"/>
        </w:rPr>
      </w:pPr>
      <w:r w:rsidRPr="0008158F">
        <w:rPr>
          <w:rFonts w:eastAsia="Times New Roman"/>
        </w:rPr>
        <w:lastRenderedPageBreak/>
        <w:t xml:space="preserve">WHO. “Solidarity” clinical trial for COVID-19 treatments. [Internet.] Geneva: WHO; 2020. [Accessed on 4 August 2020.] Available from: https://www.who.int/emergencies/diseases/novel-coronavirus-2019/global-research-on-novel-coronavirus-2019-ncov/solidarity-clinical-trial-for-covid-19-treatments. </w:t>
      </w:r>
    </w:p>
    <w:p w14:paraId="6F72B896"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National Institute of Allergy and Infectious Diseases (NIAID). NIH Clinical Trial Shows </w:t>
      </w:r>
      <w:proofErr w:type="spellStart"/>
      <w:r w:rsidRPr="0008158F">
        <w:rPr>
          <w:rFonts w:eastAsia="Times New Roman"/>
        </w:rPr>
        <w:t>Remdesivir</w:t>
      </w:r>
      <w:proofErr w:type="spellEnd"/>
      <w:r w:rsidRPr="0008158F">
        <w:rPr>
          <w:rFonts w:eastAsia="Times New Roman"/>
        </w:rPr>
        <w:t xml:space="preserve"> Accelerates Recovery from Advanced COVID-19. [Internet.] Bethesda: Government of the United States of America, National Institutes of </w:t>
      </w:r>
      <w:proofErr w:type="spellStart"/>
      <w:r w:rsidRPr="0008158F">
        <w:rPr>
          <w:rFonts w:eastAsia="Times New Roman"/>
        </w:rPr>
        <w:t>Heath</w:t>
      </w:r>
      <w:proofErr w:type="spellEnd"/>
      <w:r w:rsidRPr="0008158F">
        <w:rPr>
          <w:rFonts w:eastAsia="Times New Roman"/>
        </w:rPr>
        <w:t xml:space="preserve">, NIAID; 2020. [Accessed on 19 May 2020.] Available from: https://www.niaid.nih.gov/news-events/nih-clinical-trial-shows-remdesivir-accelerates-recovery-advanced-covid-19. </w:t>
      </w:r>
    </w:p>
    <w:p w14:paraId="1F205432"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Wang Y, Zhang D, Du G, Du R, Zhao J, </w:t>
      </w:r>
      <w:proofErr w:type="spellStart"/>
      <w:r w:rsidRPr="0008158F">
        <w:rPr>
          <w:rFonts w:eastAsia="Times New Roman"/>
        </w:rPr>
        <w:t>Jin</w:t>
      </w:r>
      <w:proofErr w:type="spellEnd"/>
      <w:r w:rsidRPr="0008158F">
        <w:rPr>
          <w:rFonts w:eastAsia="Times New Roman"/>
        </w:rPr>
        <w:t xml:space="preserve"> Y et al. </w:t>
      </w:r>
      <w:proofErr w:type="spellStart"/>
      <w:r w:rsidRPr="0008158F">
        <w:rPr>
          <w:rFonts w:eastAsia="Times New Roman"/>
        </w:rPr>
        <w:t>Remdesivir</w:t>
      </w:r>
      <w:proofErr w:type="spellEnd"/>
      <w:r w:rsidRPr="0008158F">
        <w:rPr>
          <w:rFonts w:eastAsia="Times New Roman"/>
        </w:rPr>
        <w:t xml:space="preserve"> in adults with severe COVID-19: a randomised, double-blind, placebo-controlled, multicentre trial. </w:t>
      </w:r>
      <w:r w:rsidRPr="0008158F">
        <w:rPr>
          <w:rStyle w:val="Emphasis"/>
          <w:rFonts w:eastAsia="Times New Roman"/>
          <w:b w:val="0"/>
        </w:rPr>
        <w:t>Lancet</w:t>
      </w:r>
      <w:r w:rsidRPr="0008158F">
        <w:rPr>
          <w:rFonts w:eastAsia="Times New Roman"/>
        </w:rPr>
        <w:t>. 2020</w:t>
      </w:r>
      <w:proofErr w:type="gramStart"/>
      <w:r w:rsidRPr="0008158F">
        <w:rPr>
          <w:rFonts w:eastAsia="Times New Roman"/>
        </w:rPr>
        <w:t>;395</w:t>
      </w:r>
      <w:proofErr w:type="gramEnd"/>
      <w:r w:rsidRPr="0008158F">
        <w:rPr>
          <w:rFonts w:eastAsia="Times New Roman"/>
        </w:rPr>
        <w:t xml:space="preserve">(10236);1569–78. </w:t>
      </w:r>
    </w:p>
    <w:p w14:paraId="364AC5D3"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Therapeutic Goods Administration (TGA). Australia’s first COVID treatment approved. [Internet.] Canberra: Australian Government Department of Health, TGA; 10 July 2020. [Accessed on 4 August 2020.] https://www.tga.gov.au/media-release/australias-first-covid-treatment-approved. </w:t>
      </w:r>
    </w:p>
    <w:p w14:paraId="6D940A50"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WHO. Draft landscape of COVID-19 candidate vaccines. [Internet.] Geneva: WHO; 2020. [Accessed on 4 August 2020.] Available from: https://www.who.int/publications/m/item/draft-landscape-of-covid-19-candidate-vaccines. </w:t>
      </w:r>
    </w:p>
    <w:p w14:paraId="635C9705" w14:textId="77777777" w:rsidR="00FE4DEF" w:rsidRPr="0008158F" w:rsidRDefault="00FE4DEF" w:rsidP="0008158F">
      <w:pPr>
        <w:pStyle w:val="ListParagraph"/>
        <w:numPr>
          <w:ilvl w:val="0"/>
          <w:numId w:val="13"/>
        </w:numPr>
        <w:rPr>
          <w:rFonts w:eastAsia="Times New Roman"/>
        </w:rPr>
      </w:pPr>
      <w:r w:rsidRPr="0008158F">
        <w:rPr>
          <w:rFonts w:eastAsia="Times New Roman"/>
        </w:rPr>
        <w:t xml:space="preserve">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 </w:t>
      </w:r>
    </w:p>
    <w:p w14:paraId="721A93AC" w14:textId="77777777" w:rsidR="00FE4DEF" w:rsidRPr="0008158F" w:rsidRDefault="00FE4DEF" w:rsidP="0008158F">
      <w:pPr>
        <w:pStyle w:val="Heading1"/>
      </w:pPr>
      <w:r w:rsidRPr="0008158F">
        <w:t xml:space="preserve">Appendix A: Background </w:t>
      </w:r>
    </w:p>
    <w:p w14:paraId="00A02D2B" w14:textId="77777777" w:rsidR="00FE4DEF" w:rsidRDefault="00FE4DEF" w:rsidP="0008158F">
      <w:r w:rsidRPr="001513CF">
        <w:rPr>
          <w:rStyle w:val="Emphasis"/>
          <w:b w:val="0"/>
        </w:rPr>
        <w:t xml:space="preserve">Last updated </w:t>
      </w:r>
      <w:r>
        <w:t>4 August</w:t>
      </w:r>
      <w:r w:rsidRPr="001513CF">
        <w:rPr>
          <w:rStyle w:val="Emphasis"/>
          <w:b w:val="0"/>
        </w:rPr>
        <w:t xml:space="preserve"> 2020 </w:t>
      </w:r>
    </w:p>
    <w:p w14:paraId="1BF16B84" w14:textId="77777777" w:rsidR="00FE4DEF" w:rsidRDefault="00FE4DEF" w:rsidP="0008158F">
      <w:r>
        <w:t xml:space="preserve">Epidemiological parameters of SARS-CoV-2 infection and COVID-19 disease are under investigation and are likely to change as more information becomes available. The information provided in this Appendix comes from peer-reviewed and official sources. Pre-prints that have not been peer reviewed have been referenced and are identified in the text. </w:t>
      </w:r>
    </w:p>
    <w:p w14:paraId="17B676D5" w14:textId="77777777" w:rsidR="00FE4DEF" w:rsidRPr="0008158F" w:rsidRDefault="00FE4DEF" w:rsidP="0008158F">
      <w:pPr>
        <w:pStyle w:val="Heading2"/>
      </w:pPr>
      <w:r w:rsidRPr="0008158F">
        <w:t xml:space="preserve">Modes of transmission </w:t>
      </w:r>
    </w:p>
    <w:p w14:paraId="4DF97A1F" w14:textId="77777777" w:rsidR="00FE4DEF" w:rsidRDefault="00FE4DEF" w:rsidP="0008158F">
      <w:r>
        <w:t>Human-to-human transmission of SARS-CoV-2 is primarily via droplets and fomites from an infected person to a close contact.</w:t>
      </w:r>
      <w:r>
        <w:rPr>
          <w:vertAlign w:val="superscript"/>
        </w:rPr>
        <w:t>34</w:t>
      </w:r>
      <w:r>
        <w:t xml:space="preserve"> </w:t>
      </w:r>
    </w:p>
    <w:p w14:paraId="76CEC3F3" w14:textId="77777777" w:rsidR="00FE4DEF" w:rsidRDefault="00FE4DEF" w:rsidP="0008158F">
      <w:r>
        <w:t>Airborne transmission may occur through medical aerosol generating procedures, and although there are limited studies in the literature to evaluate the risk of specific procedures, it is prudent for health care workers to continue to undertake appropriate precautions.</w:t>
      </w:r>
      <w:r>
        <w:rPr>
          <w:vertAlign w:val="superscript"/>
        </w:rPr>
        <w:t>35</w:t>
      </w:r>
      <w:r>
        <w:t xml:space="preserve"> </w:t>
      </w:r>
      <w:proofErr w:type="gramStart"/>
      <w:r>
        <w:t>The</w:t>
      </w:r>
      <w:proofErr w:type="gramEnd"/>
      <w:r>
        <w:t xml:space="preserve"> potential for transmission by aerosols in other settings is the subject of discussion.</w:t>
      </w:r>
      <w:r>
        <w:rPr>
          <w:vertAlign w:val="superscript"/>
        </w:rPr>
        <w:t>36</w:t>
      </w:r>
      <w:r>
        <w:t xml:space="preserve"> </w:t>
      </w:r>
    </w:p>
    <w:p w14:paraId="75402AC6" w14:textId="77777777" w:rsidR="00FE4DEF" w:rsidRDefault="00FE4DEF" w:rsidP="0008158F">
      <w:r>
        <w:lastRenderedPageBreak/>
        <w:t>SARS-CoV-2 may cause intestinal infection and viral shedding in faeces has been reported, but there are no reports of faecal-oral transmission.</w:t>
      </w:r>
      <w:r>
        <w:rPr>
          <w:vertAlign w:val="superscript"/>
        </w:rPr>
        <w:t>37</w:t>
      </w:r>
      <w:r>
        <w:t xml:space="preserve"> </w:t>
      </w:r>
    </w:p>
    <w:p w14:paraId="39B5E48B" w14:textId="77777777" w:rsidR="00FE4DEF" w:rsidRDefault="00FE4DEF" w:rsidP="0008158F">
      <w:r>
        <w:t>There is limited information about the potential for vertical transmission; however, SARS-CoV-2 RNA has been detected in placental tissue and amniotic fluid associated with a stillbirth in Belgium</w:t>
      </w:r>
      <w:proofErr w:type="gramStart"/>
      <w:r>
        <w:t>,</w:t>
      </w:r>
      <w:r>
        <w:rPr>
          <w:vertAlign w:val="superscript"/>
        </w:rPr>
        <w:t>38</w:t>
      </w:r>
      <w:proofErr w:type="gramEnd"/>
      <w:r>
        <w:t xml:space="preserve"> suggesting it may be possible under some circumstances. </w:t>
      </w:r>
    </w:p>
    <w:p w14:paraId="120D70A8" w14:textId="77777777" w:rsidR="00FE4DEF" w:rsidRDefault="00FE4DEF" w:rsidP="0008158F">
      <w:r>
        <w:t>Several studies suggest that children do not play a key role in transmission and are unlikely to be the primary source of infections.</w:t>
      </w:r>
      <w:r>
        <w:rPr>
          <w:vertAlign w:val="superscript"/>
        </w:rPr>
        <w:t>39</w:t>
      </w:r>
      <w:r>
        <w:t xml:space="preserve"> Studies from the EU have suggested that child-to-adult transmission is uncommon.</w:t>
      </w:r>
      <w:r>
        <w:rPr>
          <w:vertAlign w:val="superscript"/>
        </w:rPr>
        <w:t>40,41</w:t>
      </w:r>
      <w:r>
        <w:t xml:space="preserve"> </w:t>
      </w:r>
    </w:p>
    <w:p w14:paraId="28A78D70" w14:textId="77777777" w:rsidR="00FE4DEF" w:rsidRPr="0008158F" w:rsidRDefault="00FE4DEF" w:rsidP="0008158F">
      <w:pPr>
        <w:pStyle w:val="Heading2"/>
      </w:pPr>
      <w:r w:rsidRPr="0008158F">
        <w:t xml:space="preserve">Incubation period </w:t>
      </w:r>
    </w:p>
    <w:p w14:paraId="3EE9C233" w14:textId="77777777" w:rsidR="00FE4DEF" w:rsidRDefault="00FE4DEF" w:rsidP="0008158F">
      <w:r>
        <w:t>A systematic review of published and preprint studies has estimated the median incubation period of COVID-19 as between 5 and 6 days (ranging from 1 to 14 days).</w:t>
      </w:r>
      <w:r>
        <w:rPr>
          <w:vertAlign w:val="superscript"/>
        </w:rPr>
        <w:t>42</w:t>
      </w:r>
      <w:proofErr w:type="gramStart"/>
      <w:r>
        <w:rPr>
          <w:vertAlign w:val="superscript"/>
        </w:rPr>
        <w:t>,43</w:t>
      </w:r>
      <w:proofErr w:type="gramEnd"/>
      <w:r>
        <w:t xml:space="preserve"> </w:t>
      </w:r>
    </w:p>
    <w:p w14:paraId="28CC076E" w14:textId="77777777" w:rsidR="00FE4DEF" w:rsidRPr="0008158F" w:rsidRDefault="00FE4DEF" w:rsidP="0008158F">
      <w:pPr>
        <w:pStyle w:val="Heading2"/>
      </w:pPr>
      <w:r w:rsidRPr="0008158F">
        <w:t xml:space="preserve">Infectious period </w:t>
      </w:r>
    </w:p>
    <w:p w14:paraId="3645C5D4" w14:textId="77777777" w:rsidR="00FE4DEF" w:rsidRDefault="00FE4DEF" w:rsidP="0008158F">
      <w:r>
        <w:t>The infectious period is not well described due to a lack of studies using virus isolation to assess the presence of viable SARS-CoV-2 over time following infection.</w:t>
      </w:r>
      <w:r>
        <w:rPr>
          <w:vertAlign w:val="superscript"/>
        </w:rPr>
        <w:t>44</w:t>
      </w:r>
      <w:r>
        <w:t xml:space="preserve"> </w:t>
      </w:r>
    </w:p>
    <w:p w14:paraId="2DC318B4" w14:textId="77777777" w:rsidR="00FE4DEF" w:rsidRDefault="00FE4DEF" w:rsidP="0008158F">
      <w:r>
        <w:t>Viral RNA has been identified in respiratory tract specimens 1–2 days prior to symptom onset, and has been observed after symptom cessation.</w:t>
      </w:r>
      <w:r>
        <w:rPr>
          <w:vertAlign w:val="superscript"/>
        </w:rPr>
        <w:t>45</w:t>
      </w:r>
      <w:r>
        <w:t xml:space="preserve"> A retrospective analysis of 77 pairs of primary and secondary cases suggested that infectiousness may commence from 2.3 days before symptom onset, peaking at 0.7 days before symptom onset. It also suggested 44% of secondary cases may have been infected before the primary case was symptomatic.</w:t>
      </w:r>
      <w:r>
        <w:rPr>
          <w:vertAlign w:val="superscript"/>
        </w:rPr>
        <w:t xml:space="preserve">46 </w:t>
      </w:r>
    </w:p>
    <w:p w14:paraId="30977E32" w14:textId="77777777" w:rsidR="00FE4DEF" w:rsidRDefault="00FE4DEF" w:rsidP="0008158F">
      <w:r>
        <w:t>Cases can be infectious while not displaying symptoms, although it is not clear whether these individuals are pre-symptomatic or truly asymptomatic. Current World Health Organization (WHO) advice is that asymptomatic individuals are less infectious than people who display symptoms.</w:t>
      </w:r>
      <w:r>
        <w:rPr>
          <w:vertAlign w:val="superscript"/>
        </w:rPr>
        <w:t>47</w:t>
      </w:r>
      <w:r>
        <w:t xml:space="preserve"> However, a cross-sectional study in Massachusetts USA of residents and staff in aged care settings demonstrated that viral shedding was similar between people who were symptomatic and not symptomatic at the time of sampling.</w:t>
      </w:r>
      <w:r>
        <w:rPr>
          <w:vertAlign w:val="superscript"/>
        </w:rPr>
        <w:t>48</w:t>
      </w:r>
      <w:r>
        <w:t xml:space="preserve"> </w:t>
      </w:r>
      <w:proofErr w:type="gramStart"/>
      <w:r>
        <w:t>This</w:t>
      </w:r>
      <w:proofErr w:type="gramEnd"/>
      <w:r>
        <w:t xml:space="preserve"> study has not yet been peer reviewed. </w:t>
      </w:r>
    </w:p>
    <w:p w14:paraId="3ED0FE9C" w14:textId="77777777" w:rsidR="00FE4DEF" w:rsidRDefault="00FE4DEF" w:rsidP="0008158F">
      <w:r>
        <w:t>Viral RNA levels peak in the first week of illness, suggesting transmission is most likely to occur early with infectivity gradually decreasing over time.</w:t>
      </w:r>
      <w:r>
        <w:rPr>
          <w:vertAlign w:val="superscript"/>
        </w:rPr>
        <w:t>45</w:t>
      </w:r>
      <w:r>
        <w:t xml:space="preserve"> 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49</w:t>
      </w:r>
      <w:r>
        <w:t xml:space="preserve"> </w:t>
      </w:r>
    </w:p>
    <w:p w14:paraId="72C47438" w14:textId="77777777" w:rsidR="00FE4DEF" w:rsidRPr="0008158F" w:rsidRDefault="00FE4DEF" w:rsidP="0008158F">
      <w:pPr>
        <w:pStyle w:val="Heading2"/>
      </w:pPr>
      <w:r w:rsidRPr="0008158F">
        <w:t xml:space="preserve">Immunology </w:t>
      </w:r>
    </w:p>
    <w:p w14:paraId="75AB8878" w14:textId="77777777" w:rsidR="00FE4DEF" w:rsidRDefault="00FE4DEF" w:rsidP="0008158F">
      <w:r>
        <w:t>No correlates of immunity have been established but two challenge trials of rhesus macaques suggest that individuals with neutralising antibody titres between 8 and 200 were protected from clinical signs of disease (but not viral shedding) when exposed to SARS-CoV-2 at 28 and 35 days after initial challenge.</w:t>
      </w:r>
      <w:r>
        <w:rPr>
          <w:vertAlign w:val="superscript"/>
        </w:rPr>
        <w:t>50,51</w:t>
      </w:r>
      <w:r>
        <w:t xml:space="preserve"> Cell-mediated immunity has also been demonstrated in recovered people, but the importance of cell-mediated and humoral immunity in clinical recovery and protection against infection and disease requires further study. </w:t>
      </w:r>
    </w:p>
    <w:p w14:paraId="509F54CF" w14:textId="77777777" w:rsidR="00FE4DEF" w:rsidRDefault="00FE4DEF" w:rsidP="0008158F">
      <w:r>
        <w:lastRenderedPageBreak/>
        <w:t xml:space="preserve">In a study of nine cases in Germany, around 50% of the patients seroconverted occurred seven days after symptom onset, and all patients had seroconverted by 14 days. Infectious virus was not able to be isolated from </w:t>
      </w:r>
      <w:proofErr w:type="spellStart"/>
      <w:r>
        <w:t>naso</w:t>
      </w:r>
      <w:proofErr w:type="spellEnd"/>
      <w:r>
        <w:t>/oropharyngeal and sputum samples after the first 8 days of illness.</w:t>
      </w:r>
      <w:r>
        <w:rPr>
          <w:vertAlign w:val="superscript"/>
        </w:rPr>
        <w:t>45</w:t>
      </w:r>
      <w:r>
        <w:t xml:space="preserve"> </w:t>
      </w:r>
    </w:p>
    <w:p w14:paraId="0B8574BA" w14:textId="77777777" w:rsidR="00FE4DEF" w:rsidRDefault="00FE4DEF" w:rsidP="0008158F">
      <w:r>
        <w:t>The duration of humoral antibody response is not well characterised. A cohort study of 96 SARS-CoV-2 infected people in the United Kingdom demonstrated that serum neutralising antibody responses waned after 40 days post infection, and individuals who had experienced milder symptoms had no neutralisation response at around 60 days post infection.</w:t>
      </w:r>
      <w:r>
        <w:rPr>
          <w:vertAlign w:val="superscript"/>
        </w:rPr>
        <w:t>52</w:t>
      </w:r>
      <w:r>
        <w:t xml:space="preserve"> </w:t>
      </w:r>
      <w:proofErr w:type="gramStart"/>
      <w:r>
        <w:t>This</w:t>
      </w:r>
      <w:proofErr w:type="gramEnd"/>
      <w:r>
        <w:t xml:space="preserve"> study has not been peer reviewed. </w:t>
      </w:r>
    </w:p>
    <w:p w14:paraId="19DBA9C9" w14:textId="77777777" w:rsidR="00FE4DEF" w:rsidRDefault="00FE4DEF" w:rsidP="0008158F">
      <w:r>
        <w:t>The potential for reinfection or recrudescence of infection is also unclear. However, analysis from the Korea Centres for Disease Control and Prevention, of 108 cases who tested positive after previously being cleared from isolation, found live virus was unable to be cultured from any cases selected for testing.</w:t>
      </w:r>
      <w:r>
        <w:rPr>
          <w:vertAlign w:val="superscript"/>
        </w:rPr>
        <w:t>53</w:t>
      </w:r>
      <w:r>
        <w:t xml:space="preserve"> </w:t>
      </w:r>
    </w:p>
    <w:p w14:paraId="1B0D4FED" w14:textId="77777777" w:rsidR="00FE4DEF" w:rsidRPr="0008158F" w:rsidRDefault="00FE4DEF" w:rsidP="0008158F">
      <w:pPr>
        <w:pStyle w:val="Heading2"/>
      </w:pPr>
      <w:r w:rsidRPr="0008158F">
        <w:t xml:space="preserve">Viral genomics </w:t>
      </w:r>
    </w:p>
    <w:p w14:paraId="68BFEAA5" w14:textId="77777777" w:rsidR="00FE4DEF" w:rsidRDefault="00FE4DEF" w:rsidP="0008158F">
      <w:r>
        <w:t>Since December 2019, the virus has diversified into multiple lineages as it has spread globally, with some degree of geographical clustering. Genomic epidemiology continues to be used to support epidemiological investigations, particularly for confirming presumed transmission pathways. It has proven particularly useful for linking those cases classified as ‘locally acquired – contact not identified’ to known genomic clusters, highlighting the utility of virus sequencing to informing the public health response.</w:t>
      </w:r>
      <w:r>
        <w:rPr>
          <w:vertAlign w:val="superscript"/>
        </w:rPr>
        <w:t>3</w:t>
      </w:r>
      <w:proofErr w:type="gramStart"/>
      <w:r>
        <w:rPr>
          <w:vertAlign w:val="superscript"/>
        </w:rPr>
        <w:t>,4</w:t>
      </w:r>
      <w:proofErr w:type="gramEnd"/>
      <w:r>
        <w:t xml:space="preserve"> </w:t>
      </w:r>
    </w:p>
    <w:p w14:paraId="2599BAF2" w14:textId="77777777" w:rsidR="00FE4DEF" w:rsidRPr="0008158F" w:rsidRDefault="00FE4DEF" w:rsidP="0008158F">
      <w:pPr>
        <w:pStyle w:val="Heading2"/>
      </w:pPr>
      <w:r w:rsidRPr="0008158F">
        <w:t xml:space="preserve">Clinical features </w:t>
      </w:r>
    </w:p>
    <w:p w14:paraId="15A5AB2F" w14:textId="77777777" w:rsidR="00FE4DEF" w:rsidRDefault="00FE4DEF" w:rsidP="0008158F">
      <w:r>
        <w:t>COVID-19 presents as mild illness in the majority of cases, with cough and fever the most commonly reported symptoms (see Appendix B). Severe or fatal outcomes are more likely to occur in the elderly or those with comorbid conditions.</w:t>
      </w:r>
      <w:r>
        <w:rPr>
          <w:vertAlign w:val="superscript"/>
        </w:rPr>
        <w:t>34</w:t>
      </w:r>
      <w:proofErr w:type="gramStart"/>
      <w:r>
        <w:rPr>
          <w:vertAlign w:val="superscript"/>
        </w:rPr>
        <w:t>,54</w:t>
      </w:r>
      <w:proofErr w:type="gramEnd"/>
      <w:r>
        <w:rPr>
          <w:vertAlign w:val="superscript"/>
        </w:rPr>
        <w:t xml:space="preserve"> </w:t>
      </w:r>
    </w:p>
    <w:p w14:paraId="0FA4F8AD" w14:textId="77777777" w:rsidR="00FE4DEF" w:rsidRDefault="00FE4DEF" w:rsidP="0008158F">
      <w:r>
        <w:t>Some COVID-19 patients show neurological signs such as headache, nausea and vomiting. There is evidence that SARS-CoV-2 viruses are not always confined to the respiratory tract and may invade the central nervous system causing neurological signs and symptoms. As such, it is possible that invasion of the central nervous system is partially responsible for the acute respiratory failure of COVID-19 patients.</w:t>
      </w:r>
      <w:r>
        <w:rPr>
          <w:vertAlign w:val="superscript"/>
        </w:rPr>
        <w:t xml:space="preserve">55 </w:t>
      </w:r>
    </w:p>
    <w:p w14:paraId="46E4CD14" w14:textId="77777777" w:rsidR="00FE4DEF" w:rsidRDefault="00FE4DEF" w:rsidP="0008158F">
      <w:r>
        <w:t>Impairment or loss of the sense of smell (</w:t>
      </w:r>
      <w:proofErr w:type="spellStart"/>
      <w:r>
        <w:t>hyposmia</w:t>
      </w:r>
      <w:proofErr w:type="spellEnd"/>
      <w:r>
        <w:t>/anosmia) or taste (</w:t>
      </w:r>
      <w:proofErr w:type="spellStart"/>
      <w:r>
        <w:t>hypoguesia</w:t>
      </w:r>
      <w:proofErr w:type="spellEnd"/>
      <w:r>
        <w:t>/</w:t>
      </w:r>
      <w:proofErr w:type="spellStart"/>
      <w:r>
        <w:t>aguesia</w:t>
      </w:r>
      <w:proofErr w:type="spellEnd"/>
      <w:r>
        <w:t>) is commonly associated with COVID-19.</w:t>
      </w:r>
      <w:r>
        <w:rPr>
          <w:vertAlign w:val="superscript"/>
        </w:rPr>
        <w:t>56–58</w:t>
      </w:r>
      <w:r>
        <w:t xml:space="preserve"> This is supported by research finding a biological mechanism for the SARS-CoV-2 virus to cause olfactory dysfunction.</w:t>
      </w:r>
      <w:r>
        <w:rPr>
          <w:vertAlign w:val="superscript"/>
        </w:rPr>
        <w:t>59</w:t>
      </w:r>
      <w:proofErr w:type="gramStart"/>
      <w:r>
        <w:rPr>
          <w:vertAlign w:val="superscript"/>
        </w:rPr>
        <w:t>,60</w:t>
      </w:r>
      <w:proofErr w:type="gramEnd"/>
      <w:r>
        <w:rPr>
          <w:vertAlign w:val="superscript"/>
        </w:rPr>
        <w:t xml:space="preserve"> </w:t>
      </w:r>
      <w:r>
        <w:t xml:space="preserve">Case reports have also linked SARS-CoV-2 infection with less common neurological syndromes including encephalopathy, encephalitis, </w:t>
      </w:r>
      <w:proofErr w:type="spellStart"/>
      <w:r>
        <w:t>Guillian-Barré</w:t>
      </w:r>
      <w:proofErr w:type="spellEnd"/>
      <w:r>
        <w:t xml:space="preserve"> syndrome and acute cerebrovascular disease.</w:t>
      </w:r>
      <w:r>
        <w:rPr>
          <w:vertAlign w:val="superscript"/>
        </w:rPr>
        <w:t>58</w:t>
      </w:r>
      <w:r>
        <w:t xml:space="preserve"> </w:t>
      </w:r>
    </w:p>
    <w:p w14:paraId="529C5600" w14:textId="77777777" w:rsidR="00FE4DEF" w:rsidRDefault="00FE4DEF" w:rsidP="0008158F">
      <w:r>
        <w:t>Several studies have also identified linked cardiovascular diseases to COVID-19.</w:t>
      </w:r>
      <w:r>
        <w:rPr>
          <w:vertAlign w:val="superscript"/>
        </w:rPr>
        <w:t>61–63</w:t>
      </w:r>
      <w:r>
        <w:t xml:space="preserve"> Vascular inflammation has been observed in a number of cases and may be a potential mechanism for myocardial injury which can result in cardiac dysfunction and arrhythmias. </w:t>
      </w:r>
    </w:p>
    <w:p w14:paraId="529C20C1" w14:textId="77777777" w:rsidR="00FE4DEF" w:rsidRDefault="00FE4DEF" w:rsidP="0008158F">
      <w:r>
        <w:t xml:space="preserve">COVID-19 disease in children is more likely to be mild and self-limiting, compared to adults. Internationally, children make up a small proportion of confirmed COVID-19 cases, with those shown to be infected either presenting with milder symptoms than adults or </w:t>
      </w:r>
      <w:r>
        <w:lastRenderedPageBreak/>
        <w:t>remaining asymptomatic.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39</w:t>
      </w:r>
      <w:r>
        <w:t xml:space="preserve"> </w:t>
      </w:r>
    </w:p>
    <w:p w14:paraId="4AA17563" w14:textId="77777777" w:rsidR="00FE4DEF" w:rsidRDefault="00FE4DEF" w:rsidP="0008158F">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Kawasaki-like disease is currently inconclusive and further investigation is needed due to variability in clinical presentations in reported paediatric cases.</w:t>
      </w:r>
      <w:r>
        <w:rPr>
          <w:vertAlign w:val="superscript"/>
        </w:rPr>
        <w:t>64</w:t>
      </w:r>
      <w:proofErr w:type="gramStart"/>
      <w:r>
        <w:rPr>
          <w:vertAlign w:val="superscript"/>
        </w:rPr>
        <w:t>,65</w:t>
      </w:r>
      <w:proofErr w:type="gramEnd"/>
      <w:r>
        <w:rPr>
          <w:vertAlign w:val="superscript"/>
        </w:rPr>
        <w:t xml:space="preserve"> </w:t>
      </w:r>
    </w:p>
    <w:p w14:paraId="2F2138AC" w14:textId="77777777" w:rsidR="00FE4DEF" w:rsidRPr="0008158F" w:rsidRDefault="00FE4DEF" w:rsidP="0008158F">
      <w:pPr>
        <w:pStyle w:val="Heading2"/>
      </w:pPr>
      <w:r w:rsidRPr="0008158F">
        <w:t xml:space="preserve">Treatment </w:t>
      </w:r>
    </w:p>
    <w:p w14:paraId="2887F2EE" w14:textId="77777777" w:rsidR="00FE4DEF" w:rsidRDefault="00FE4DEF" w:rsidP="0008158F">
      <w:r>
        <w:t>Current clinical management of COVID-19 cases focuses on early recognition, isolation, appropriate infection control measures and provision of supportive care.</w:t>
      </w:r>
      <w:r>
        <w:rPr>
          <w:vertAlign w:val="superscript"/>
        </w:rPr>
        <w:t>66</w:t>
      </w:r>
      <w:r>
        <w:t xml:space="preserve"> Whilst there is no specific antiviral treatment currently recommended for patients with suspected or confirmed SARS-CoV-2 infection, multiple clinical trials are underway to evaluate a number of therapeutic agents, including </w:t>
      </w:r>
      <w:proofErr w:type="spellStart"/>
      <w:r>
        <w:t>remdesivir</w:t>
      </w:r>
      <w:proofErr w:type="spellEnd"/>
      <w:r>
        <w:t xml:space="preserve">, </w:t>
      </w:r>
      <w:proofErr w:type="spellStart"/>
      <w:r>
        <w:t>lopinavir</w:t>
      </w:r>
      <w:proofErr w:type="spellEnd"/>
      <w:r>
        <w:t>/ritonavir, and chloroquine or hydroxychloroquine.</w:t>
      </w:r>
      <w:r>
        <w:rPr>
          <w:vertAlign w:val="superscript"/>
        </w:rPr>
        <w:t>67,68</w:t>
      </w:r>
      <w:r>
        <w:t xml:space="preserve"> </w:t>
      </w:r>
    </w:p>
    <w:p w14:paraId="027F6324" w14:textId="77777777" w:rsidR="00FE4DEF" w:rsidRDefault="00FE4DEF" w:rsidP="0008158F">
      <w:r>
        <w:t xml:space="preserve">An open-label randomised controlled trial did not find a significant impact of </w:t>
      </w:r>
      <w:proofErr w:type="spellStart"/>
      <w:r>
        <w:t>hydroxychloroquine</w:t>
      </w:r>
      <w:proofErr w:type="spellEnd"/>
      <w:r>
        <w:t xml:space="preserve"> treatment on disease progression for hospitalised patients with mild to moderate COVID-19, with those receiving treatment also reporting a higher number of adverse events.</w:t>
      </w:r>
      <w:r>
        <w:rPr>
          <w:vertAlign w:val="superscript"/>
        </w:rPr>
        <w:t>69</w:t>
      </w:r>
      <w:r>
        <w:t xml:space="preserve"> Similarly, an open-label randomised controlled trial of </w:t>
      </w:r>
      <w:proofErr w:type="spellStart"/>
      <w:r>
        <w:t>lopinavir</w:t>
      </w:r>
      <w:proofErr w:type="spellEnd"/>
      <w:r>
        <w:t>/ritonavir among hospitalised patients found no benefit for time to clinical improvement.</w:t>
      </w:r>
      <w:r>
        <w:rPr>
          <w:vertAlign w:val="superscript"/>
        </w:rPr>
        <w:t>70</w:t>
      </w:r>
      <w:r>
        <w:t xml:space="preserve"> WHO announced the interruption of clinical trials of </w:t>
      </w:r>
      <w:proofErr w:type="spellStart"/>
      <w:r>
        <w:t>hydroxychloroquine</w:t>
      </w:r>
      <w:proofErr w:type="spellEnd"/>
      <w:r>
        <w:t xml:space="preserve"> and </w:t>
      </w:r>
      <w:proofErr w:type="spellStart"/>
      <w:r>
        <w:t>lopinavir</w:t>
      </w:r>
      <w:proofErr w:type="spellEnd"/>
      <w:r>
        <w:t>/ritonavir under the ‘Solidarity Trial’ on 4 July 2020.</w:t>
      </w:r>
      <w:r>
        <w:rPr>
          <w:vertAlign w:val="superscript"/>
        </w:rPr>
        <w:t>71</w:t>
      </w:r>
      <w:r>
        <w:t xml:space="preserve"> </w:t>
      </w:r>
    </w:p>
    <w:p w14:paraId="6C0B04E9" w14:textId="77777777" w:rsidR="00FE4DEF" w:rsidRDefault="00FE4DEF" w:rsidP="0008158F">
      <w:r>
        <w:t xml:space="preserve">Results for </w:t>
      </w:r>
      <w:proofErr w:type="spellStart"/>
      <w:r>
        <w:t>remdesivir</w:t>
      </w:r>
      <w:proofErr w:type="spellEnd"/>
      <w:r>
        <w:t xml:space="preserve"> treatment have been mixed, with one randomised double-blind placebo-controlled trial finding patients recovered 31% faster and a lower mortality rate (8.0% compared with 11.6% among placebo patients),</w:t>
      </w:r>
      <w:r>
        <w:rPr>
          <w:vertAlign w:val="superscript"/>
        </w:rPr>
        <w:t>72</w:t>
      </w:r>
      <w:r>
        <w:t xml:space="preserve"> while another found no effect.</w:t>
      </w:r>
      <w:r>
        <w:rPr>
          <w:vertAlign w:val="superscript"/>
        </w:rPr>
        <w:t>73</w:t>
      </w:r>
      <w:r>
        <w:t xml:space="preserve"> The Therapeutic Goods Administration has granted provisional approval for use of </w:t>
      </w:r>
      <w:proofErr w:type="spellStart"/>
      <w:r>
        <w:t>remdesivir</w:t>
      </w:r>
      <w:proofErr w:type="spellEnd"/>
      <w:r>
        <w:t xml:space="preserve"> in hospitalised adults and adolescents with severe COVID-19 symptoms.</w:t>
      </w:r>
      <w:r>
        <w:rPr>
          <w:vertAlign w:val="superscript"/>
        </w:rPr>
        <w:t>74</w:t>
      </w:r>
      <w:r>
        <w:t xml:space="preserve"> </w:t>
      </w:r>
    </w:p>
    <w:p w14:paraId="7DC85E9F" w14:textId="77777777" w:rsidR="00FE4DEF" w:rsidRDefault="00FE4DEF" w:rsidP="0008158F">
      <w:r>
        <w:t>As at 27 July 2020, the WHO reports that at least 25 candidate vaccines are in clinical trials and 139 are in preclinical evaluation.</w:t>
      </w:r>
      <w:r>
        <w:rPr>
          <w:vertAlign w:val="superscript"/>
        </w:rPr>
        <w:t>75</w:t>
      </w:r>
      <w:r>
        <w:t xml:space="preserve"> </w:t>
      </w:r>
    </w:p>
    <w:p w14:paraId="0AE2F3F9" w14:textId="77777777" w:rsidR="00FE4DEF" w:rsidRDefault="00FE4DEF" w:rsidP="0008158F">
      <w:r>
        <w:t>Research from the UK has found dexamethasone could significantly reduce death in critically ill patients.</w:t>
      </w:r>
      <w:r>
        <w:rPr>
          <w:vertAlign w:val="superscript"/>
        </w:rPr>
        <w:t>76</w:t>
      </w:r>
      <w:r>
        <w:t xml:space="preserve"> </w:t>
      </w:r>
      <w:proofErr w:type="gramStart"/>
      <w:r>
        <w:t>Yet</w:t>
      </w:r>
      <w:proofErr w:type="gramEnd"/>
      <w:r>
        <w:t xml:space="preserve">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There are no barriers to the use of dexamethasone in Australian patients who are critically ill, such as cases who require ventilation or oxygen support.</w:t>
      </w:r>
      <w:r>
        <w:rPr>
          <w:vertAlign w:val="superscript"/>
        </w:rPr>
        <w:t>76</w:t>
      </w:r>
    </w:p>
    <w:p w14:paraId="3FB654D3" w14:textId="77777777" w:rsidR="00660932" w:rsidRDefault="00660932">
      <w:pPr>
        <w:rPr>
          <w:rFonts w:asciiTheme="majorHAnsi" w:eastAsia="Times New Roman" w:hAnsiTheme="majorHAnsi" w:cstheme="majorBidi"/>
          <w:b/>
          <w:bCs/>
          <w:sz w:val="32"/>
          <w:szCs w:val="28"/>
        </w:rPr>
      </w:pPr>
      <w:r>
        <w:rPr>
          <w:rFonts w:eastAsia="Times New Roman"/>
        </w:rPr>
        <w:br w:type="page"/>
      </w:r>
    </w:p>
    <w:p w14:paraId="50E0F36D" w14:textId="77777777" w:rsidR="00FE4DEF" w:rsidRDefault="00FE4DEF">
      <w:pPr>
        <w:pStyle w:val="Heading1"/>
        <w:rPr>
          <w:rFonts w:eastAsia="Times New Roman"/>
        </w:rPr>
      </w:pPr>
      <w:r>
        <w:rPr>
          <w:rFonts w:eastAsia="Times New Roman"/>
        </w:rPr>
        <w:lastRenderedPageBreak/>
        <w:t>Appendix B: Supplementary figures and tables</w:t>
      </w:r>
    </w:p>
    <w:p w14:paraId="60E76F18" w14:textId="77777777" w:rsidR="00FE4DEF" w:rsidRDefault="00FE4DEF" w:rsidP="0008158F">
      <w:pPr>
        <w:pStyle w:val="CDIFigures"/>
      </w:pPr>
      <w:r>
        <w:t xml:space="preserve">Table B.1. COVID-19 case notifications and rates per 100,000 population, by age group and sex, 30 August 2020, </w:t>
      </w:r>
      <w:proofErr w:type="spellStart"/>
      <w:r>
        <w:t>Australia</w:t>
      </w:r>
      <w:r w:rsidRPr="0019775D">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10;"/>
      </w:tblPr>
      <w:tblGrid>
        <w:gridCol w:w="1081"/>
        <w:gridCol w:w="782"/>
        <w:gridCol w:w="782"/>
        <w:gridCol w:w="782"/>
        <w:gridCol w:w="782"/>
        <w:gridCol w:w="782"/>
        <w:gridCol w:w="782"/>
        <w:gridCol w:w="782"/>
        <w:gridCol w:w="782"/>
        <w:gridCol w:w="782"/>
        <w:gridCol w:w="782"/>
        <w:gridCol w:w="782"/>
        <w:gridCol w:w="783"/>
      </w:tblGrid>
      <w:tr w:rsidR="00FE4DEF" w14:paraId="5A609DF9" w14:textId="77777777" w:rsidTr="00FC19C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99DC509" w14:textId="77777777" w:rsidR="00FE4DEF" w:rsidRPr="00660932" w:rsidRDefault="00FE4DEF">
            <w:pPr>
              <w:pStyle w:val="NormalWeb"/>
              <w:rPr>
                <w:color w:val="FFFFFF" w:themeColor="background1"/>
              </w:rPr>
            </w:pPr>
            <w:r w:rsidRPr="00660932">
              <w:rPr>
                <w:color w:val="FFFFFF" w:themeColor="background1"/>
              </w:rPr>
              <w:t>Age Group</w:t>
            </w:r>
          </w:p>
        </w:tc>
        <w:tc>
          <w:tcPr>
            <w:tcW w:w="4692" w:type="dxa"/>
            <w:gridSpan w:val="6"/>
            <w:tcBorders>
              <w:left w:val="single" w:sz="2" w:space="0" w:color="FFFFFF" w:themeColor="background1"/>
              <w:bottom w:val="single" w:sz="2" w:space="0" w:color="FFFFFF" w:themeColor="background1"/>
              <w:right w:val="single" w:sz="2" w:space="0" w:color="FFFFFF" w:themeColor="background1"/>
            </w:tcBorders>
            <w:hideMark/>
          </w:tcPr>
          <w:p w14:paraId="249CB187" w14:textId="77777777" w:rsidR="00FE4DEF" w:rsidRPr="00660932" w:rsidRDefault="00FE4DEF" w:rsidP="00FC19C2">
            <w:pPr>
              <w:pStyle w:val="NormalWeb"/>
              <w:jc w:val="center"/>
              <w:rPr>
                <w:color w:val="FFFFFF" w:themeColor="background1"/>
              </w:rPr>
            </w:pPr>
            <w:r w:rsidRPr="00660932">
              <w:rPr>
                <w:color w:val="FFFFFF" w:themeColor="background1"/>
              </w:rPr>
              <w:t>This reporting period 17—30 August 2020</w:t>
            </w:r>
          </w:p>
        </w:tc>
        <w:tc>
          <w:tcPr>
            <w:tcW w:w="4693" w:type="dxa"/>
            <w:gridSpan w:val="6"/>
            <w:tcBorders>
              <w:left w:val="single" w:sz="2" w:space="0" w:color="FFFFFF" w:themeColor="background1"/>
              <w:bottom w:val="single" w:sz="2" w:space="0" w:color="FFFFFF" w:themeColor="background1"/>
            </w:tcBorders>
            <w:hideMark/>
          </w:tcPr>
          <w:p w14:paraId="2A5357EB" w14:textId="77777777" w:rsidR="00FE4DEF" w:rsidRPr="00660932" w:rsidRDefault="00FE4DEF" w:rsidP="00FC19C2">
            <w:pPr>
              <w:pStyle w:val="NormalWeb"/>
              <w:jc w:val="center"/>
              <w:rPr>
                <w:color w:val="FFFFFF" w:themeColor="background1"/>
              </w:rPr>
            </w:pPr>
            <w:r w:rsidRPr="00660932">
              <w:rPr>
                <w:color w:val="FFFFFF" w:themeColor="background1"/>
              </w:rPr>
              <w:t>Cumulative</w:t>
            </w:r>
          </w:p>
        </w:tc>
      </w:tr>
      <w:tr w:rsidR="00FE4DEF" w14:paraId="31D71C2C" w14:textId="77777777" w:rsidTr="00FC19C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7993DDC" w14:textId="77777777" w:rsidR="00FE4DEF" w:rsidRPr="00660932" w:rsidRDefault="00FE4DEF">
            <w:pPr>
              <w:rPr>
                <w:color w:val="FFFFFF" w:themeColor="background1"/>
                <w:sz w:val="24"/>
                <w:szCs w:val="24"/>
              </w:rPr>
            </w:pPr>
          </w:p>
        </w:tc>
        <w:tc>
          <w:tcPr>
            <w:tcW w:w="234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CE70A0B" w14:textId="77777777" w:rsidR="00FE4DEF" w:rsidRPr="00660932" w:rsidRDefault="00FE4DEF" w:rsidP="00FC19C2">
            <w:pPr>
              <w:pStyle w:val="NormalWeb"/>
              <w:jc w:val="center"/>
              <w:rPr>
                <w:color w:val="FFFFFF" w:themeColor="background1"/>
              </w:rPr>
            </w:pPr>
            <w:r w:rsidRPr="00660932">
              <w:rPr>
                <w:color w:val="FFFFFF" w:themeColor="background1"/>
              </w:rPr>
              <w:t>Cases</w:t>
            </w:r>
          </w:p>
        </w:tc>
        <w:tc>
          <w:tcPr>
            <w:tcW w:w="234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6794222" w14:textId="77777777" w:rsidR="00FE4DEF" w:rsidRPr="00660932" w:rsidRDefault="00FE4DEF" w:rsidP="00FC19C2">
            <w:pPr>
              <w:pStyle w:val="NormalWeb"/>
              <w:jc w:val="center"/>
              <w:rPr>
                <w:color w:val="FFFFFF" w:themeColor="background1"/>
              </w:rPr>
            </w:pPr>
            <w:r w:rsidRPr="00660932">
              <w:rPr>
                <w:color w:val="FFFFFF" w:themeColor="background1"/>
              </w:rPr>
              <w:t>Rate per 100,000 population</w:t>
            </w:r>
          </w:p>
        </w:tc>
        <w:tc>
          <w:tcPr>
            <w:tcW w:w="234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4EAC8AD" w14:textId="77777777" w:rsidR="00FE4DEF" w:rsidRPr="00660932" w:rsidRDefault="00FE4DEF" w:rsidP="00FC19C2">
            <w:pPr>
              <w:pStyle w:val="NormalWeb"/>
              <w:jc w:val="center"/>
              <w:rPr>
                <w:color w:val="FFFFFF" w:themeColor="background1"/>
              </w:rPr>
            </w:pPr>
            <w:r w:rsidRPr="00660932">
              <w:rPr>
                <w:color w:val="FFFFFF" w:themeColor="background1"/>
              </w:rPr>
              <w:t>Cases</w:t>
            </w:r>
          </w:p>
        </w:tc>
        <w:tc>
          <w:tcPr>
            <w:tcW w:w="2347" w:type="dxa"/>
            <w:gridSpan w:val="3"/>
            <w:tcBorders>
              <w:top w:val="single" w:sz="2" w:space="0" w:color="FFFFFF" w:themeColor="background1"/>
              <w:left w:val="single" w:sz="2" w:space="0" w:color="FFFFFF" w:themeColor="background1"/>
              <w:bottom w:val="single" w:sz="2" w:space="0" w:color="FFFFFF" w:themeColor="background1"/>
            </w:tcBorders>
            <w:hideMark/>
          </w:tcPr>
          <w:p w14:paraId="0E2162C7" w14:textId="77777777" w:rsidR="00FE4DEF" w:rsidRPr="00660932" w:rsidRDefault="00FE4DEF" w:rsidP="00FC19C2">
            <w:pPr>
              <w:pStyle w:val="NormalWeb"/>
              <w:jc w:val="center"/>
              <w:rPr>
                <w:color w:val="FFFFFF" w:themeColor="background1"/>
              </w:rPr>
            </w:pPr>
            <w:r w:rsidRPr="00660932">
              <w:rPr>
                <w:color w:val="FFFFFF" w:themeColor="background1"/>
              </w:rPr>
              <w:t>Rate per 100,000 population</w:t>
            </w:r>
          </w:p>
        </w:tc>
      </w:tr>
      <w:tr w:rsidR="0019775D" w14:paraId="1D243010" w14:textId="77777777" w:rsidTr="0056048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460A073" w14:textId="77777777" w:rsidR="00FE4DEF" w:rsidRPr="00660932" w:rsidRDefault="00FE4DEF">
            <w:pPr>
              <w:rPr>
                <w:color w:val="FFFFFF" w:themeColor="background1"/>
                <w:sz w:val="24"/>
                <w:szCs w:val="24"/>
              </w:rPr>
            </w:pP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29F814CD"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2D42B8B7"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73B51FD1" w14:textId="77777777" w:rsidR="00FE4DEF" w:rsidRPr="00660932" w:rsidRDefault="00FE4DEF" w:rsidP="00FC19C2">
            <w:pPr>
              <w:pStyle w:val="NormalWeb"/>
              <w:jc w:val="center"/>
              <w:rPr>
                <w:color w:val="FFFFFF" w:themeColor="background1"/>
              </w:rPr>
            </w:pPr>
            <w:r w:rsidRPr="00660932">
              <w:rPr>
                <w:color w:val="FFFFFF" w:themeColor="background1"/>
              </w:rPr>
              <w:t>Total</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06927EE1"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3D1A2B38"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2FF8E700" w14:textId="77777777" w:rsidR="00FE4DEF" w:rsidRPr="00660932" w:rsidRDefault="00FE4DEF" w:rsidP="00FC19C2">
            <w:pPr>
              <w:pStyle w:val="NormalWeb"/>
              <w:jc w:val="center"/>
              <w:rPr>
                <w:color w:val="FFFFFF" w:themeColor="background1"/>
              </w:rPr>
            </w:pPr>
            <w:r w:rsidRPr="00660932">
              <w:rPr>
                <w:color w:val="FFFFFF" w:themeColor="background1"/>
              </w:rPr>
              <w:t>Total</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7AC2B4CD"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1A9F1975"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64A05014" w14:textId="77777777" w:rsidR="00FE4DEF" w:rsidRPr="00660932" w:rsidRDefault="00FE4DEF" w:rsidP="00FC19C2">
            <w:pPr>
              <w:pStyle w:val="NormalWeb"/>
              <w:jc w:val="center"/>
              <w:rPr>
                <w:color w:val="FFFFFF" w:themeColor="background1"/>
              </w:rPr>
            </w:pPr>
            <w:r w:rsidRPr="00660932">
              <w:rPr>
                <w:color w:val="FFFFFF" w:themeColor="background1"/>
              </w:rPr>
              <w:t>Total</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752D0068" w14:textId="77777777" w:rsidR="00FE4DEF" w:rsidRPr="00660932" w:rsidRDefault="00FE4DEF" w:rsidP="00FC19C2">
            <w:pPr>
              <w:pStyle w:val="NormalWeb"/>
              <w:jc w:val="center"/>
              <w:rPr>
                <w:color w:val="FFFFFF" w:themeColor="background1"/>
              </w:rPr>
            </w:pPr>
            <w:r w:rsidRPr="00660932">
              <w:rPr>
                <w:color w:val="FFFFFF" w:themeColor="background1"/>
              </w:rPr>
              <w:t>Male</w:t>
            </w:r>
          </w:p>
        </w:tc>
        <w:tc>
          <w:tcPr>
            <w:tcW w:w="782" w:type="dxa"/>
            <w:tcBorders>
              <w:top w:val="single" w:sz="2" w:space="0" w:color="FFFFFF" w:themeColor="background1"/>
              <w:left w:val="single" w:sz="2" w:space="0" w:color="FFFFFF" w:themeColor="background1"/>
              <w:right w:val="single" w:sz="2" w:space="0" w:color="FFFFFF" w:themeColor="background1"/>
            </w:tcBorders>
            <w:hideMark/>
          </w:tcPr>
          <w:p w14:paraId="5A757A42" w14:textId="77777777" w:rsidR="00FE4DEF" w:rsidRPr="00660932" w:rsidRDefault="00FE4DEF" w:rsidP="00FC19C2">
            <w:pPr>
              <w:pStyle w:val="NormalWeb"/>
              <w:jc w:val="center"/>
              <w:rPr>
                <w:color w:val="FFFFFF" w:themeColor="background1"/>
              </w:rPr>
            </w:pPr>
            <w:r w:rsidRPr="00660932">
              <w:rPr>
                <w:color w:val="FFFFFF" w:themeColor="background1"/>
              </w:rPr>
              <w:t>Female</w:t>
            </w:r>
          </w:p>
        </w:tc>
        <w:tc>
          <w:tcPr>
            <w:tcW w:w="783" w:type="dxa"/>
            <w:tcBorders>
              <w:top w:val="single" w:sz="2" w:space="0" w:color="FFFFFF" w:themeColor="background1"/>
              <w:left w:val="single" w:sz="2" w:space="0" w:color="FFFFFF" w:themeColor="background1"/>
            </w:tcBorders>
            <w:hideMark/>
          </w:tcPr>
          <w:p w14:paraId="67E02624" w14:textId="77777777" w:rsidR="00FE4DEF" w:rsidRPr="00660932" w:rsidRDefault="00FE4DEF" w:rsidP="00FC19C2">
            <w:pPr>
              <w:pStyle w:val="NormalWeb"/>
              <w:jc w:val="center"/>
              <w:rPr>
                <w:color w:val="FFFFFF" w:themeColor="background1"/>
              </w:rPr>
            </w:pPr>
            <w:r w:rsidRPr="00660932">
              <w:rPr>
                <w:color w:val="FFFFFF" w:themeColor="background1"/>
              </w:rPr>
              <w:t>Total</w:t>
            </w:r>
          </w:p>
        </w:tc>
      </w:tr>
      <w:tr w:rsidR="00FE4DEF" w14:paraId="27A5C8D8" w14:textId="77777777" w:rsidTr="00560482">
        <w:tc>
          <w:tcPr>
            <w:tcW w:w="0" w:type="auto"/>
            <w:tcBorders>
              <w:right w:val="single" w:sz="2" w:space="0" w:color="auto"/>
            </w:tcBorders>
            <w:hideMark/>
          </w:tcPr>
          <w:p w14:paraId="10548864" w14:textId="77777777" w:rsidR="00FE4DEF" w:rsidRDefault="00FE4DEF">
            <w:pPr>
              <w:pStyle w:val="NormalWeb"/>
            </w:pPr>
            <w:r>
              <w:t>0—9</w:t>
            </w:r>
          </w:p>
        </w:tc>
        <w:tc>
          <w:tcPr>
            <w:tcW w:w="782" w:type="dxa"/>
            <w:tcBorders>
              <w:left w:val="single" w:sz="2" w:space="0" w:color="auto"/>
              <w:right w:val="single" w:sz="2" w:space="0" w:color="auto"/>
            </w:tcBorders>
            <w:hideMark/>
          </w:tcPr>
          <w:p w14:paraId="16012F1C" w14:textId="77777777" w:rsidR="00FE4DEF" w:rsidRDefault="00FE4DEF" w:rsidP="00FC19C2">
            <w:pPr>
              <w:pStyle w:val="NormalWeb"/>
              <w:jc w:val="center"/>
            </w:pPr>
            <w:r>
              <w:t>80</w:t>
            </w:r>
          </w:p>
        </w:tc>
        <w:tc>
          <w:tcPr>
            <w:tcW w:w="782" w:type="dxa"/>
            <w:tcBorders>
              <w:left w:val="single" w:sz="2" w:space="0" w:color="auto"/>
              <w:right w:val="single" w:sz="2" w:space="0" w:color="auto"/>
            </w:tcBorders>
            <w:hideMark/>
          </w:tcPr>
          <w:p w14:paraId="4679034A" w14:textId="77777777" w:rsidR="00FE4DEF" w:rsidRDefault="00FE4DEF" w:rsidP="00FC19C2">
            <w:pPr>
              <w:pStyle w:val="NormalWeb"/>
              <w:jc w:val="center"/>
            </w:pPr>
            <w:r>
              <w:t>63</w:t>
            </w:r>
          </w:p>
        </w:tc>
        <w:tc>
          <w:tcPr>
            <w:tcW w:w="782" w:type="dxa"/>
            <w:tcBorders>
              <w:left w:val="single" w:sz="2" w:space="0" w:color="auto"/>
              <w:right w:val="single" w:sz="2" w:space="0" w:color="auto"/>
            </w:tcBorders>
            <w:hideMark/>
          </w:tcPr>
          <w:p w14:paraId="2B7FF79D" w14:textId="77777777" w:rsidR="00FE4DEF" w:rsidRDefault="00FE4DEF" w:rsidP="00FC19C2">
            <w:pPr>
              <w:pStyle w:val="NormalWeb"/>
              <w:jc w:val="center"/>
            </w:pPr>
            <w:r>
              <w:t>143</w:t>
            </w:r>
          </w:p>
        </w:tc>
        <w:tc>
          <w:tcPr>
            <w:tcW w:w="782" w:type="dxa"/>
            <w:tcBorders>
              <w:left w:val="single" w:sz="2" w:space="0" w:color="auto"/>
              <w:right w:val="single" w:sz="2" w:space="0" w:color="auto"/>
            </w:tcBorders>
            <w:hideMark/>
          </w:tcPr>
          <w:p w14:paraId="674B11AF" w14:textId="77777777" w:rsidR="00FE4DEF" w:rsidRDefault="00FE4DEF" w:rsidP="00FC19C2">
            <w:pPr>
              <w:pStyle w:val="NormalWeb"/>
              <w:jc w:val="center"/>
            </w:pPr>
            <w:r>
              <w:t>4.9</w:t>
            </w:r>
          </w:p>
        </w:tc>
        <w:tc>
          <w:tcPr>
            <w:tcW w:w="782" w:type="dxa"/>
            <w:tcBorders>
              <w:left w:val="single" w:sz="2" w:space="0" w:color="auto"/>
              <w:right w:val="single" w:sz="2" w:space="0" w:color="auto"/>
            </w:tcBorders>
            <w:hideMark/>
          </w:tcPr>
          <w:p w14:paraId="45F243A3"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7A198E9E" w14:textId="77777777" w:rsidR="00FE4DEF" w:rsidRDefault="00FE4DEF" w:rsidP="00FC19C2">
            <w:pPr>
              <w:pStyle w:val="NormalWeb"/>
              <w:jc w:val="center"/>
            </w:pPr>
            <w:r>
              <w:t>4.5</w:t>
            </w:r>
          </w:p>
        </w:tc>
        <w:tc>
          <w:tcPr>
            <w:tcW w:w="782" w:type="dxa"/>
            <w:tcBorders>
              <w:left w:val="single" w:sz="2" w:space="0" w:color="auto"/>
              <w:right w:val="single" w:sz="2" w:space="0" w:color="auto"/>
            </w:tcBorders>
            <w:hideMark/>
          </w:tcPr>
          <w:p w14:paraId="41812B66" w14:textId="77777777" w:rsidR="00FE4DEF" w:rsidRDefault="00FE4DEF" w:rsidP="00FC19C2">
            <w:pPr>
              <w:pStyle w:val="NormalWeb"/>
              <w:jc w:val="center"/>
            </w:pPr>
            <w:r>
              <w:t>664</w:t>
            </w:r>
          </w:p>
        </w:tc>
        <w:tc>
          <w:tcPr>
            <w:tcW w:w="782" w:type="dxa"/>
            <w:tcBorders>
              <w:left w:val="single" w:sz="2" w:space="0" w:color="auto"/>
              <w:right w:val="single" w:sz="2" w:space="0" w:color="auto"/>
            </w:tcBorders>
            <w:hideMark/>
          </w:tcPr>
          <w:p w14:paraId="136AC664" w14:textId="77777777" w:rsidR="00FE4DEF" w:rsidRDefault="00FE4DEF" w:rsidP="00FC19C2">
            <w:pPr>
              <w:pStyle w:val="NormalWeb"/>
              <w:jc w:val="center"/>
            </w:pPr>
            <w:r>
              <w:t>589</w:t>
            </w:r>
          </w:p>
        </w:tc>
        <w:tc>
          <w:tcPr>
            <w:tcW w:w="782" w:type="dxa"/>
            <w:tcBorders>
              <w:left w:val="single" w:sz="2" w:space="0" w:color="auto"/>
              <w:right w:val="single" w:sz="2" w:space="0" w:color="auto"/>
            </w:tcBorders>
            <w:hideMark/>
          </w:tcPr>
          <w:p w14:paraId="0249B81C" w14:textId="77777777" w:rsidR="00FE4DEF" w:rsidRDefault="00FE4DEF" w:rsidP="00FC19C2">
            <w:pPr>
              <w:pStyle w:val="NormalWeb"/>
              <w:jc w:val="center"/>
            </w:pPr>
            <w:r>
              <w:t>1,254</w:t>
            </w:r>
          </w:p>
        </w:tc>
        <w:tc>
          <w:tcPr>
            <w:tcW w:w="782" w:type="dxa"/>
            <w:tcBorders>
              <w:left w:val="single" w:sz="2" w:space="0" w:color="auto"/>
              <w:right w:val="single" w:sz="2" w:space="0" w:color="auto"/>
            </w:tcBorders>
            <w:hideMark/>
          </w:tcPr>
          <w:p w14:paraId="6128AC1D" w14:textId="77777777" w:rsidR="00FE4DEF" w:rsidRDefault="00FE4DEF" w:rsidP="00FC19C2">
            <w:pPr>
              <w:pStyle w:val="NormalWeb"/>
              <w:jc w:val="center"/>
            </w:pPr>
            <w:r>
              <w:t>40.6</w:t>
            </w:r>
          </w:p>
        </w:tc>
        <w:tc>
          <w:tcPr>
            <w:tcW w:w="782" w:type="dxa"/>
            <w:tcBorders>
              <w:left w:val="single" w:sz="2" w:space="0" w:color="auto"/>
              <w:right w:val="single" w:sz="2" w:space="0" w:color="auto"/>
            </w:tcBorders>
            <w:hideMark/>
          </w:tcPr>
          <w:p w14:paraId="705FB93D" w14:textId="77777777" w:rsidR="00FE4DEF" w:rsidRDefault="00FE4DEF" w:rsidP="00FC19C2">
            <w:pPr>
              <w:pStyle w:val="NormalWeb"/>
              <w:jc w:val="center"/>
            </w:pPr>
            <w:r>
              <w:t>38</w:t>
            </w:r>
          </w:p>
        </w:tc>
        <w:tc>
          <w:tcPr>
            <w:tcW w:w="783" w:type="dxa"/>
            <w:tcBorders>
              <w:left w:val="single" w:sz="2" w:space="0" w:color="auto"/>
            </w:tcBorders>
            <w:hideMark/>
          </w:tcPr>
          <w:p w14:paraId="23524ECD" w14:textId="77777777" w:rsidR="00FE4DEF" w:rsidRDefault="00FE4DEF" w:rsidP="00FC19C2">
            <w:pPr>
              <w:pStyle w:val="NormalWeb"/>
              <w:jc w:val="center"/>
            </w:pPr>
            <w:r>
              <w:t>39.4</w:t>
            </w:r>
          </w:p>
        </w:tc>
      </w:tr>
      <w:tr w:rsidR="0019775D" w14:paraId="3E9B899C"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1E16CD0E" w14:textId="77777777" w:rsidR="00FE4DEF" w:rsidRDefault="00FE4DEF">
            <w:pPr>
              <w:pStyle w:val="NormalWeb"/>
            </w:pPr>
            <w:r>
              <w:t>10—19</w:t>
            </w:r>
          </w:p>
        </w:tc>
        <w:tc>
          <w:tcPr>
            <w:tcW w:w="782" w:type="dxa"/>
            <w:tcBorders>
              <w:left w:val="single" w:sz="2" w:space="0" w:color="auto"/>
              <w:right w:val="single" w:sz="2" w:space="0" w:color="auto"/>
            </w:tcBorders>
            <w:hideMark/>
          </w:tcPr>
          <w:p w14:paraId="6BC5499B" w14:textId="77777777" w:rsidR="00FE4DEF" w:rsidRDefault="00FE4DEF" w:rsidP="00FC19C2">
            <w:pPr>
              <w:pStyle w:val="NormalWeb"/>
              <w:jc w:val="center"/>
            </w:pPr>
            <w:r>
              <w:t>65</w:t>
            </w:r>
          </w:p>
        </w:tc>
        <w:tc>
          <w:tcPr>
            <w:tcW w:w="782" w:type="dxa"/>
            <w:tcBorders>
              <w:left w:val="single" w:sz="2" w:space="0" w:color="auto"/>
              <w:right w:val="single" w:sz="2" w:space="0" w:color="auto"/>
            </w:tcBorders>
            <w:hideMark/>
          </w:tcPr>
          <w:p w14:paraId="0AA5B001" w14:textId="77777777" w:rsidR="00FE4DEF" w:rsidRDefault="00FE4DEF" w:rsidP="00FC19C2">
            <w:pPr>
              <w:pStyle w:val="NormalWeb"/>
              <w:jc w:val="center"/>
            </w:pPr>
            <w:r>
              <w:t>74</w:t>
            </w:r>
          </w:p>
        </w:tc>
        <w:tc>
          <w:tcPr>
            <w:tcW w:w="782" w:type="dxa"/>
            <w:tcBorders>
              <w:left w:val="single" w:sz="2" w:space="0" w:color="auto"/>
              <w:right w:val="single" w:sz="2" w:space="0" w:color="auto"/>
            </w:tcBorders>
            <w:hideMark/>
          </w:tcPr>
          <w:p w14:paraId="115DD109" w14:textId="77777777" w:rsidR="00FE4DEF" w:rsidRDefault="00FE4DEF" w:rsidP="00FC19C2">
            <w:pPr>
              <w:pStyle w:val="NormalWeb"/>
              <w:jc w:val="center"/>
            </w:pPr>
            <w:r>
              <w:t>139</w:t>
            </w:r>
          </w:p>
        </w:tc>
        <w:tc>
          <w:tcPr>
            <w:tcW w:w="782" w:type="dxa"/>
            <w:tcBorders>
              <w:left w:val="single" w:sz="2" w:space="0" w:color="auto"/>
              <w:right w:val="single" w:sz="2" w:space="0" w:color="auto"/>
            </w:tcBorders>
            <w:hideMark/>
          </w:tcPr>
          <w:p w14:paraId="5729025C"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5B4C772F" w14:textId="77777777" w:rsidR="00FE4DEF" w:rsidRDefault="00FE4DEF" w:rsidP="00FC19C2">
            <w:pPr>
              <w:pStyle w:val="NormalWeb"/>
              <w:jc w:val="center"/>
            </w:pPr>
            <w:r>
              <w:t>5</w:t>
            </w:r>
          </w:p>
        </w:tc>
        <w:tc>
          <w:tcPr>
            <w:tcW w:w="782" w:type="dxa"/>
            <w:tcBorders>
              <w:left w:val="single" w:sz="2" w:space="0" w:color="auto"/>
              <w:right w:val="single" w:sz="2" w:space="0" w:color="auto"/>
            </w:tcBorders>
            <w:hideMark/>
          </w:tcPr>
          <w:p w14:paraId="1F853844" w14:textId="77777777" w:rsidR="00FE4DEF" w:rsidRDefault="00FE4DEF" w:rsidP="00FC19C2">
            <w:pPr>
              <w:pStyle w:val="NormalWeb"/>
              <w:jc w:val="center"/>
            </w:pPr>
            <w:r>
              <w:t>4.5</w:t>
            </w:r>
          </w:p>
        </w:tc>
        <w:tc>
          <w:tcPr>
            <w:tcW w:w="782" w:type="dxa"/>
            <w:tcBorders>
              <w:left w:val="single" w:sz="2" w:space="0" w:color="auto"/>
              <w:right w:val="single" w:sz="2" w:space="0" w:color="auto"/>
            </w:tcBorders>
            <w:hideMark/>
          </w:tcPr>
          <w:p w14:paraId="54CC5BA6" w14:textId="77777777" w:rsidR="00FE4DEF" w:rsidRDefault="00FE4DEF" w:rsidP="00FC19C2">
            <w:pPr>
              <w:pStyle w:val="NormalWeb"/>
              <w:jc w:val="center"/>
            </w:pPr>
            <w:r>
              <w:t>1,080</w:t>
            </w:r>
          </w:p>
        </w:tc>
        <w:tc>
          <w:tcPr>
            <w:tcW w:w="782" w:type="dxa"/>
            <w:tcBorders>
              <w:left w:val="single" w:sz="2" w:space="0" w:color="auto"/>
              <w:right w:val="single" w:sz="2" w:space="0" w:color="auto"/>
            </w:tcBorders>
            <w:hideMark/>
          </w:tcPr>
          <w:p w14:paraId="3EE4CC11" w14:textId="77777777" w:rsidR="00FE4DEF" w:rsidRDefault="00FE4DEF" w:rsidP="00FC19C2">
            <w:pPr>
              <w:pStyle w:val="NormalWeb"/>
              <w:jc w:val="center"/>
            </w:pPr>
            <w:r>
              <w:t>1,036</w:t>
            </w:r>
          </w:p>
        </w:tc>
        <w:tc>
          <w:tcPr>
            <w:tcW w:w="782" w:type="dxa"/>
            <w:tcBorders>
              <w:left w:val="single" w:sz="2" w:space="0" w:color="auto"/>
              <w:right w:val="single" w:sz="2" w:space="0" w:color="auto"/>
            </w:tcBorders>
            <w:hideMark/>
          </w:tcPr>
          <w:p w14:paraId="6A757D11" w14:textId="77777777" w:rsidR="00FE4DEF" w:rsidRDefault="00FE4DEF" w:rsidP="00FC19C2">
            <w:pPr>
              <w:pStyle w:val="NormalWeb"/>
              <w:jc w:val="center"/>
            </w:pPr>
            <w:r>
              <w:t>2,116</w:t>
            </w:r>
          </w:p>
        </w:tc>
        <w:tc>
          <w:tcPr>
            <w:tcW w:w="782" w:type="dxa"/>
            <w:tcBorders>
              <w:left w:val="single" w:sz="2" w:space="0" w:color="auto"/>
              <w:right w:val="single" w:sz="2" w:space="0" w:color="auto"/>
            </w:tcBorders>
            <w:hideMark/>
          </w:tcPr>
          <w:p w14:paraId="384BEDA9" w14:textId="77777777" w:rsidR="00FE4DEF" w:rsidRDefault="00FE4DEF" w:rsidP="00FC19C2">
            <w:pPr>
              <w:pStyle w:val="NormalWeb"/>
              <w:jc w:val="center"/>
            </w:pPr>
            <w:r>
              <w:t>68.7</w:t>
            </w:r>
          </w:p>
        </w:tc>
        <w:tc>
          <w:tcPr>
            <w:tcW w:w="782" w:type="dxa"/>
            <w:tcBorders>
              <w:left w:val="single" w:sz="2" w:space="0" w:color="auto"/>
              <w:right w:val="single" w:sz="2" w:space="0" w:color="auto"/>
            </w:tcBorders>
            <w:hideMark/>
          </w:tcPr>
          <w:p w14:paraId="53E9493B" w14:textId="77777777" w:rsidR="00FE4DEF" w:rsidRDefault="00FE4DEF" w:rsidP="00FC19C2">
            <w:pPr>
              <w:pStyle w:val="NormalWeb"/>
              <w:jc w:val="center"/>
            </w:pPr>
            <w:r>
              <w:t>69.7</w:t>
            </w:r>
          </w:p>
        </w:tc>
        <w:tc>
          <w:tcPr>
            <w:tcW w:w="783" w:type="dxa"/>
            <w:tcBorders>
              <w:left w:val="single" w:sz="2" w:space="0" w:color="auto"/>
            </w:tcBorders>
            <w:hideMark/>
          </w:tcPr>
          <w:p w14:paraId="37AB384C" w14:textId="77777777" w:rsidR="00FE4DEF" w:rsidRDefault="00FE4DEF" w:rsidP="00FC19C2">
            <w:pPr>
              <w:pStyle w:val="NormalWeb"/>
              <w:jc w:val="center"/>
            </w:pPr>
            <w:r>
              <w:t>69.2</w:t>
            </w:r>
          </w:p>
        </w:tc>
      </w:tr>
      <w:tr w:rsidR="00FE4DEF" w14:paraId="496147A2" w14:textId="77777777" w:rsidTr="00560482">
        <w:tc>
          <w:tcPr>
            <w:tcW w:w="0" w:type="auto"/>
            <w:tcBorders>
              <w:right w:val="single" w:sz="2" w:space="0" w:color="auto"/>
            </w:tcBorders>
            <w:hideMark/>
          </w:tcPr>
          <w:p w14:paraId="6FFB02E1" w14:textId="77777777" w:rsidR="00FE4DEF" w:rsidRDefault="00FE4DEF">
            <w:pPr>
              <w:pStyle w:val="NormalWeb"/>
            </w:pPr>
            <w:r>
              <w:t>20—29</w:t>
            </w:r>
          </w:p>
        </w:tc>
        <w:tc>
          <w:tcPr>
            <w:tcW w:w="782" w:type="dxa"/>
            <w:tcBorders>
              <w:left w:val="single" w:sz="2" w:space="0" w:color="auto"/>
              <w:right w:val="single" w:sz="2" w:space="0" w:color="auto"/>
            </w:tcBorders>
            <w:hideMark/>
          </w:tcPr>
          <w:p w14:paraId="0BAA7072" w14:textId="77777777" w:rsidR="00FE4DEF" w:rsidRDefault="00FE4DEF" w:rsidP="00FC19C2">
            <w:pPr>
              <w:pStyle w:val="NormalWeb"/>
              <w:jc w:val="center"/>
            </w:pPr>
            <w:r>
              <w:t>169</w:t>
            </w:r>
          </w:p>
        </w:tc>
        <w:tc>
          <w:tcPr>
            <w:tcW w:w="782" w:type="dxa"/>
            <w:tcBorders>
              <w:left w:val="single" w:sz="2" w:space="0" w:color="auto"/>
              <w:right w:val="single" w:sz="2" w:space="0" w:color="auto"/>
            </w:tcBorders>
            <w:hideMark/>
          </w:tcPr>
          <w:p w14:paraId="24A87EE3" w14:textId="77777777" w:rsidR="00FE4DEF" w:rsidRDefault="00FE4DEF" w:rsidP="00FC19C2">
            <w:pPr>
              <w:pStyle w:val="NormalWeb"/>
              <w:jc w:val="center"/>
            </w:pPr>
            <w:r>
              <w:t>213</w:t>
            </w:r>
          </w:p>
        </w:tc>
        <w:tc>
          <w:tcPr>
            <w:tcW w:w="782" w:type="dxa"/>
            <w:tcBorders>
              <w:left w:val="single" w:sz="2" w:space="0" w:color="auto"/>
              <w:right w:val="single" w:sz="2" w:space="0" w:color="auto"/>
            </w:tcBorders>
            <w:hideMark/>
          </w:tcPr>
          <w:p w14:paraId="6F188A27" w14:textId="77777777" w:rsidR="00FE4DEF" w:rsidRDefault="00FE4DEF" w:rsidP="00FC19C2">
            <w:pPr>
              <w:pStyle w:val="NormalWeb"/>
              <w:jc w:val="center"/>
            </w:pPr>
            <w:r>
              <w:t>383</w:t>
            </w:r>
          </w:p>
        </w:tc>
        <w:tc>
          <w:tcPr>
            <w:tcW w:w="782" w:type="dxa"/>
            <w:tcBorders>
              <w:left w:val="single" w:sz="2" w:space="0" w:color="auto"/>
              <w:right w:val="single" w:sz="2" w:space="0" w:color="auto"/>
            </w:tcBorders>
            <w:hideMark/>
          </w:tcPr>
          <w:p w14:paraId="1B78E325" w14:textId="77777777" w:rsidR="00FE4DEF" w:rsidRDefault="00FE4DEF" w:rsidP="00FC19C2">
            <w:pPr>
              <w:pStyle w:val="NormalWeb"/>
              <w:jc w:val="center"/>
            </w:pPr>
            <w:r>
              <w:t>9.1</w:t>
            </w:r>
          </w:p>
        </w:tc>
        <w:tc>
          <w:tcPr>
            <w:tcW w:w="782" w:type="dxa"/>
            <w:tcBorders>
              <w:left w:val="single" w:sz="2" w:space="0" w:color="auto"/>
              <w:right w:val="single" w:sz="2" w:space="0" w:color="auto"/>
            </w:tcBorders>
            <w:hideMark/>
          </w:tcPr>
          <w:p w14:paraId="07AEC85A" w14:textId="77777777" w:rsidR="00FE4DEF" w:rsidRDefault="00FE4DEF" w:rsidP="00FC19C2">
            <w:pPr>
              <w:pStyle w:val="NormalWeb"/>
              <w:jc w:val="center"/>
            </w:pPr>
            <w:r>
              <w:t>11.8</w:t>
            </w:r>
          </w:p>
        </w:tc>
        <w:tc>
          <w:tcPr>
            <w:tcW w:w="782" w:type="dxa"/>
            <w:tcBorders>
              <w:left w:val="single" w:sz="2" w:space="0" w:color="auto"/>
              <w:right w:val="single" w:sz="2" w:space="0" w:color="auto"/>
            </w:tcBorders>
            <w:hideMark/>
          </w:tcPr>
          <w:p w14:paraId="5748EA3A" w14:textId="77777777" w:rsidR="00FE4DEF" w:rsidRDefault="00FE4DEF" w:rsidP="00FC19C2">
            <w:pPr>
              <w:pStyle w:val="NormalWeb"/>
              <w:jc w:val="center"/>
            </w:pPr>
            <w:r>
              <w:t>10.4</w:t>
            </w:r>
          </w:p>
        </w:tc>
        <w:tc>
          <w:tcPr>
            <w:tcW w:w="782" w:type="dxa"/>
            <w:tcBorders>
              <w:left w:val="single" w:sz="2" w:space="0" w:color="auto"/>
              <w:right w:val="single" w:sz="2" w:space="0" w:color="auto"/>
            </w:tcBorders>
            <w:hideMark/>
          </w:tcPr>
          <w:p w14:paraId="234EA27E" w14:textId="77777777" w:rsidR="00FE4DEF" w:rsidRDefault="00FE4DEF" w:rsidP="00FC19C2">
            <w:pPr>
              <w:pStyle w:val="NormalWeb"/>
              <w:jc w:val="center"/>
            </w:pPr>
            <w:r>
              <w:t>2,755</w:t>
            </w:r>
          </w:p>
        </w:tc>
        <w:tc>
          <w:tcPr>
            <w:tcW w:w="782" w:type="dxa"/>
            <w:tcBorders>
              <w:left w:val="single" w:sz="2" w:space="0" w:color="auto"/>
              <w:right w:val="single" w:sz="2" w:space="0" w:color="auto"/>
            </w:tcBorders>
            <w:hideMark/>
          </w:tcPr>
          <w:p w14:paraId="1ABC7313" w14:textId="77777777" w:rsidR="00FE4DEF" w:rsidRDefault="00FE4DEF" w:rsidP="00FC19C2">
            <w:pPr>
              <w:pStyle w:val="NormalWeb"/>
              <w:jc w:val="center"/>
            </w:pPr>
            <w:r>
              <w:t>3,043</w:t>
            </w:r>
          </w:p>
        </w:tc>
        <w:tc>
          <w:tcPr>
            <w:tcW w:w="782" w:type="dxa"/>
            <w:tcBorders>
              <w:left w:val="single" w:sz="2" w:space="0" w:color="auto"/>
              <w:right w:val="single" w:sz="2" w:space="0" w:color="auto"/>
            </w:tcBorders>
            <w:hideMark/>
          </w:tcPr>
          <w:p w14:paraId="4A975553" w14:textId="77777777" w:rsidR="00FE4DEF" w:rsidRDefault="00FE4DEF" w:rsidP="00FC19C2">
            <w:pPr>
              <w:pStyle w:val="NormalWeb"/>
              <w:jc w:val="center"/>
            </w:pPr>
            <w:r>
              <w:t>5,825</w:t>
            </w:r>
          </w:p>
        </w:tc>
        <w:tc>
          <w:tcPr>
            <w:tcW w:w="782" w:type="dxa"/>
            <w:tcBorders>
              <w:left w:val="single" w:sz="2" w:space="0" w:color="auto"/>
              <w:right w:val="single" w:sz="2" w:space="0" w:color="auto"/>
            </w:tcBorders>
            <w:hideMark/>
          </w:tcPr>
          <w:p w14:paraId="2AB13E8D" w14:textId="77777777" w:rsidR="00FE4DEF" w:rsidRDefault="00FE4DEF" w:rsidP="00FC19C2">
            <w:pPr>
              <w:pStyle w:val="NormalWeb"/>
              <w:jc w:val="center"/>
            </w:pPr>
            <w:r>
              <w:t>147.9</w:t>
            </w:r>
          </w:p>
        </w:tc>
        <w:tc>
          <w:tcPr>
            <w:tcW w:w="782" w:type="dxa"/>
            <w:tcBorders>
              <w:left w:val="single" w:sz="2" w:space="0" w:color="auto"/>
              <w:right w:val="single" w:sz="2" w:space="0" w:color="auto"/>
            </w:tcBorders>
            <w:hideMark/>
          </w:tcPr>
          <w:p w14:paraId="6CB96230" w14:textId="77777777" w:rsidR="00FE4DEF" w:rsidRDefault="00FE4DEF" w:rsidP="00FC19C2">
            <w:pPr>
              <w:pStyle w:val="NormalWeb"/>
              <w:jc w:val="center"/>
            </w:pPr>
            <w:r>
              <w:t>168.6</w:t>
            </w:r>
          </w:p>
        </w:tc>
        <w:tc>
          <w:tcPr>
            <w:tcW w:w="783" w:type="dxa"/>
            <w:tcBorders>
              <w:left w:val="single" w:sz="2" w:space="0" w:color="auto"/>
            </w:tcBorders>
            <w:hideMark/>
          </w:tcPr>
          <w:p w14:paraId="1EF8C9C5" w14:textId="77777777" w:rsidR="00FE4DEF" w:rsidRDefault="00FE4DEF" w:rsidP="00FC19C2">
            <w:pPr>
              <w:pStyle w:val="NormalWeb"/>
              <w:jc w:val="center"/>
            </w:pPr>
            <w:r>
              <w:t>158.8</w:t>
            </w:r>
          </w:p>
        </w:tc>
      </w:tr>
      <w:tr w:rsidR="0019775D" w14:paraId="3B325720"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3405ED1E" w14:textId="77777777" w:rsidR="00FE4DEF" w:rsidRDefault="00FE4DEF">
            <w:pPr>
              <w:pStyle w:val="NormalWeb"/>
            </w:pPr>
            <w:r>
              <w:t>30—39</w:t>
            </w:r>
          </w:p>
        </w:tc>
        <w:tc>
          <w:tcPr>
            <w:tcW w:w="782" w:type="dxa"/>
            <w:tcBorders>
              <w:left w:val="single" w:sz="2" w:space="0" w:color="auto"/>
              <w:right w:val="single" w:sz="2" w:space="0" w:color="auto"/>
            </w:tcBorders>
            <w:hideMark/>
          </w:tcPr>
          <w:p w14:paraId="62665483" w14:textId="77777777" w:rsidR="00FE4DEF" w:rsidRDefault="00FE4DEF" w:rsidP="00FC19C2">
            <w:pPr>
              <w:pStyle w:val="NormalWeb"/>
              <w:jc w:val="center"/>
            </w:pPr>
            <w:r>
              <w:t>134</w:t>
            </w:r>
          </w:p>
        </w:tc>
        <w:tc>
          <w:tcPr>
            <w:tcW w:w="782" w:type="dxa"/>
            <w:tcBorders>
              <w:left w:val="single" w:sz="2" w:space="0" w:color="auto"/>
              <w:right w:val="single" w:sz="2" w:space="0" w:color="auto"/>
            </w:tcBorders>
            <w:hideMark/>
          </w:tcPr>
          <w:p w14:paraId="0AC523C6" w14:textId="77777777" w:rsidR="00FE4DEF" w:rsidRDefault="00FE4DEF" w:rsidP="00FC19C2">
            <w:pPr>
              <w:pStyle w:val="NormalWeb"/>
              <w:jc w:val="center"/>
            </w:pPr>
            <w:r>
              <w:t>133</w:t>
            </w:r>
          </w:p>
        </w:tc>
        <w:tc>
          <w:tcPr>
            <w:tcW w:w="782" w:type="dxa"/>
            <w:tcBorders>
              <w:left w:val="single" w:sz="2" w:space="0" w:color="auto"/>
              <w:right w:val="single" w:sz="2" w:space="0" w:color="auto"/>
            </w:tcBorders>
            <w:hideMark/>
          </w:tcPr>
          <w:p w14:paraId="47FA11E9" w14:textId="77777777" w:rsidR="00FE4DEF" w:rsidRDefault="00FE4DEF" w:rsidP="00FC19C2">
            <w:pPr>
              <w:pStyle w:val="NormalWeb"/>
              <w:jc w:val="center"/>
            </w:pPr>
            <w:r>
              <w:t>267</w:t>
            </w:r>
          </w:p>
        </w:tc>
        <w:tc>
          <w:tcPr>
            <w:tcW w:w="782" w:type="dxa"/>
            <w:tcBorders>
              <w:left w:val="single" w:sz="2" w:space="0" w:color="auto"/>
              <w:right w:val="single" w:sz="2" w:space="0" w:color="auto"/>
            </w:tcBorders>
            <w:hideMark/>
          </w:tcPr>
          <w:p w14:paraId="5F8DED36" w14:textId="77777777" w:rsidR="00FE4DEF" w:rsidRDefault="00FE4DEF" w:rsidP="00FC19C2">
            <w:pPr>
              <w:pStyle w:val="NormalWeb"/>
              <w:jc w:val="center"/>
            </w:pPr>
            <w:r>
              <w:t>7.4</w:t>
            </w:r>
          </w:p>
        </w:tc>
        <w:tc>
          <w:tcPr>
            <w:tcW w:w="782" w:type="dxa"/>
            <w:tcBorders>
              <w:left w:val="single" w:sz="2" w:space="0" w:color="auto"/>
              <w:right w:val="single" w:sz="2" w:space="0" w:color="auto"/>
            </w:tcBorders>
            <w:hideMark/>
          </w:tcPr>
          <w:p w14:paraId="62D21B17" w14:textId="77777777" w:rsidR="00FE4DEF" w:rsidRDefault="00FE4DEF" w:rsidP="00FC19C2">
            <w:pPr>
              <w:pStyle w:val="NormalWeb"/>
              <w:jc w:val="center"/>
            </w:pPr>
            <w:r>
              <w:t>7.2</w:t>
            </w:r>
          </w:p>
        </w:tc>
        <w:tc>
          <w:tcPr>
            <w:tcW w:w="782" w:type="dxa"/>
            <w:tcBorders>
              <w:left w:val="single" w:sz="2" w:space="0" w:color="auto"/>
              <w:right w:val="single" w:sz="2" w:space="0" w:color="auto"/>
            </w:tcBorders>
            <w:hideMark/>
          </w:tcPr>
          <w:p w14:paraId="31661F77" w14:textId="77777777" w:rsidR="00FE4DEF" w:rsidRDefault="00FE4DEF" w:rsidP="00FC19C2">
            <w:pPr>
              <w:pStyle w:val="NormalWeb"/>
              <w:jc w:val="center"/>
            </w:pPr>
            <w:r>
              <w:t>7.3</w:t>
            </w:r>
          </w:p>
        </w:tc>
        <w:tc>
          <w:tcPr>
            <w:tcW w:w="782" w:type="dxa"/>
            <w:tcBorders>
              <w:left w:val="single" w:sz="2" w:space="0" w:color="auto"/>
              <w:right w:val="single" w:sz="2" w:space="0" w:color="auto"/>
            </w:tcBorders>
            <w:hideMark/>
          </w:tcPr>
          <w:p w14:paraId="35D1F777" w14:textId="77777777" w:rsidR="00FE4DEF" w:rsidRDefault="00FE4DEF" w:rsidP="00FC19C2">
            <w:pPr>
              <w:pStyle w:val="NormalWeb"/>
              <w:jc w:val="center"/>
            </w:pPr>
            <w:r>
              <w:t>2,227</w:t>
            </w:r>
          </w:p>
        </w:tc>
        <w:tc>
          <w:tcPr>
            <w:tcW w:w="782" w:type="dxa"/>
            <w:tcBorders>
              <w:left w:val="single" w:sz="2" w:space="0" w:color="auto"/>
              <w:right w:val="single" w:sz="2" w:space="0" w:color="auto"/>
            </w:tcBorders>
            <w:hideMark/>
          </w:tcPr>
          <w:p w14:paraId="530F64E6" w14:textId="77777777" w:rsidR="00FE4DEF" w:rsidRDefault="00FE4DEF" w:rsidP="00FC19C2">
            <w:pPr>
              <w:pStyle w:val="NormalWeb"/>
              <w:jc w:val="center"/>
            </w:pPr>
            <w:r>
              <w:t>2,192</w:t>
            </w:r>
          </w:p>
        </w:tc>
        <w:tc>
          <w:tcPr>
            <w:tcW w:w="782" w:type="dxa"/>
            <w:tcBorders>
              <w:left w:val="single" w:sz="2" w:space="0" w:color="auto"/>
              <w:right w:val="single" w:sz="2" w:space="0" w:color="auto"/>
            </w:tcBorders>
            <w:hideMark/>
          </w:tcPr>
          <w:p w14:paraId="109EAF23" w14:textId="77777777" w:rsidR="00FE4DEF" w:rsidRDefault="00FE4DEF" w:rsidP="00FC19C2">
            <w:pPr>
              <w:pStyle w:val="NormalWeb"/>
              <w:jc w:val="center"/>
            </w:pPr>
            <w:r>
              <w:t>4,438</w:t>
            </w:r>
          </w:p>
        </w:tc>
        <w:tc>
          <w:tcPr>
            <w:tcW w:w="782" w:type="dxa"/>
            <w:tcBorders>
              <w:left w:val="single" w:sz="2" w:space="0" w:color="auto"/>
              <w:right w:val="single" w:sz="2" w:space="0" w:color="auto"/>
            </w:tcBorders>
            <w:hideMark/>
          </w:tcPr>
          <w:p w14:paraId="32B1948D" w14:textId="77777777" w:rsidR="00FE4DEF" w:rsidRDefault="00FE4DEF" w:rsidP="00FC19C2">
            <w:pPr>
              <w:pStyle w:val="NormalWeb"/>
              <w:jc w:val="center"/>
            </w:pPr>
            <w:r>
              <w:t>122.5</w:t>
            </w:r>
          </w:p>
        </w:tc>
        <w:tc>
          <w:tcPr>
            <w:tcW w:w="782" w:type="dxa"/>
            <w:tcBorders>
              <w:left w:val="single" w:sz="2" w:space="0" w:color="auto"/>
              <w:right w:val="single" w:sz="2" w:space="0" w:color="auto"/>
            </w:tcBorders>
            <w:hideMark/>
          </w:tcPr>
          <w:p w14:paraId="619CBFF6" w14:textId="77777777" w:rsidR="00FE4DEF" w:rsidRDefault="00FE4DEF" w:rsidP="00FC19C2">
            <w:pPr>
              <w:pStyle w:val="NormalWeb"/>
              <w:jc w:val="center"/>
            </w:pPr>
            <w:r>
              <w:t>118.2</w:t>
            </w:r>
          </w:p>
        </w:tc>
        <w:tc>
          <w:tcPr>
            <w:tcW w:w="783" w:type="dxa"/>
            <w:tcBorders>
              <w:left w:val="single" w:sz="2" w:space="0" w:color="auto"/>
            </w:tcBorders>
            <w:hideMark/>
          </w:tcPr>
          <w:p w14:paraId="557D18EE" w14:textId="77777777" w:rsidR="00FE4DEF" w:rsidRDefault="00FE4DEF" w:rsidP="00FC19C2">
            <w:pPr>
              <w:pStyle w:val="NormalWeb"/>
              <w:jc w:val="center"/>
            </w:pPr>
            <w:r>
              <w:t>120.8</w:t>
            </w:r>
          </w:p>
        </w:tc>
      </w:tr>
      <w:tr w:rsidR="00FE4DEF" w14:paraId="5DE472CD" w14:textId="77777777" w:rsidTr="00560482">
        <w:tc>
          <w:tcPr>
            <w:tcW w:w="0" w:type="auto"/>
            <w:tcBorders>
              <w:right w:val="single" w:sz="2" w:space="0" w:color="auto"/>
            </w:tcBorders>
            <w:hideMark/>
          </w:tcPr>
          <w:p w14:paraId="15453959" w14:textId="77777777" w:rsidR="00FE4DEF" w:rsidRDefault="00FE4DEF">
            <w:pPr>
              <w:pStyle w:val="NormalWeb"/>
            </w:pPr>
            <w:r>
              <w:t>40—49</w:t>
            </w:r>
          </w:p>
        </w:tc>
        <w:tc>
          <w:tcPr>
            <w:tcW w:w="782" w:type="dxa"/>
            <w:tcBorders>
              <w:left w:val="single" w:sz="2" w:space="0" w:color="auto"/>
              <w:right w:val="single" w:sz="2" w:space="0" w:color="auto"/>
            </w:tcBorders>
            <w:hideMark/>
          </w:tcPr>
          <w:p w14:paraId="1BB5D331" w14:textId="77777777" w:rsidR="00FE4DEF" w:rsidRDefault="00FE4DEF" w:rsidP="00FC19C2">
            <w:pPr>
              <w:pStyle w:val="NormalWeb"/>
              <w:jc w:val="center"/>
            </w:pPr>
            <w:r>
              <w:t>86</w:t>
            </w:r>
          </w:p>
        </w:tc>
        <w:tc>
          <w:tcPr>
            <w:tcW w:w="782" w:type="dxa"/>
            <w:tcBorders>
              <w:left w:val="single" w:sz="2" w:space="0" w:color="auto"/>
              <w:right w:val="single" w:sz="2" w:space="0" w:color="auto"/>
            </w:tcBorders>
            <w:hideMark/>
          </w:tcPr>
          <w:p w14:paraId="2973B9B2" w14:textId="77777777" w:rsidR="00FE4DEF" w:rsidRDefault="00FE4DEF" w:rsidP="00FC19C2">
            <w:pPr>
              <w:pStyle w:val="NormalWeb"/>
              <w:jc w:val="center"/>
            </w:pPr>
            <w:r>
              <w:t>126</w:t>
            </w:r>
          </w:p>
        </w:tc>
        <w:tc>
          <w:tcPr>
            <w:tcW w:w="782" w:type="dxa"/>
            <w:tcBorders>
              <w:left w:val="single" w:sz="2" w:space="0" w:color="auto"/>
              <w:right w:val="single" w:sz="2" w:space="0" w:color="auto"/>
            </w:tcBorders>
            <w:hideMark/>
          </w:tcPr>
          <w:p w14:paraId="57A7B2A9" w14:textId="77777777" w:rsidR="00FE4DEF" w:rsidRDefault="00FE4DEF" w:rsidP="00FC19C2">
            <w:pPr>
              <w:pStyle w:val="NormalWeb"/>
              <w:jc w:val="center"/>
            </w:pPr>
            <w:r>
              <w:t>214</w:t>
            </w:r>
          </w:p>
        </w:tc>
        <w:tc>
          <w:tcPr>
            <w:tcW w:w="782" w:type="dxa"/>
            <w:tcBorders>
              <w:left w:val="single" w:sz="2" w:space="0" w:color="auto"/>
              <w:right w:val="single" w:sz="2" w:space="0" w:color="auto"/>
            </w:tcBorders>
            <w:hideMark/>
          </w:tcPr>
          <w:p w14:paraId="577DE4CB" w14:textId="77777777" w:rsidR="00FE4DEF" w:rsidRDefault="00FE4DEF" w:rsidP="00FC19C2">
            <w:pPr>
              <w:pStyle w:val="NormalWeb"/>
              <w:jc w:val="center"/>
            </w:pPr>
            <w:r>
              <w:t>5.3</w:t>
            </w:r>
          </w:p>
        </w:tc>
        <w:tc>
          <w:tcPr>
            <w:tcW w:w="782" w:type="dxa"/>
            <w:tcBorders>
              <w:left w:val="single" w:sz="2" w:space="0" w:color="auto"/>
              <w:right w:val="single" w:sz="2" w:space="0" w:color="auto"/>
            </w:tcBorders>
            <w:hideMark/>
          </w:tcPr>
          <w:p w14:paraId="13BF3310" w14:textId="77777777" w:rsidR="00FE4DEF" w:rsidRDefault="00FE4DEF" w:rsidP="00FC19C2">
            <w:pPr>
              <w:pStyle w:val="NormalWeb"/>
              <w:jc w:val="center"/>
            </w:pPr>
            <w:r>
              <w:t>7.6</w:t>
            </w:r>
          </w:p>
        </w:tc>
        <w:tc>
          <w:tcPr>
            <w:tcW w:w="782" w:type="dxa"/>
            <w:tcBorders>
              <w:left w:val="single" w:sz="2" w:space="0" w:color="auto"/>
              <w:right w:val="single" w:sz="2" w:space="0" w:color="auto"/>
            </w:tcBorders>
            <w:hideMark/>
          </w:tcPr>
          <w:p w14:paraId="2916B532" w14:textId="77777777" w:rsidR="00FE4DEF" w:rsidRDefault="00FE4DEF" w:rsidP="00FC19C2">
            <w:pPr>
              <w:pStyle w:val="NormalWeb"/>
              <w:jc w:val="center"/>
            </w:pPr>
            <w:r>
              <w:t>6.5</w:t>
            </w:r>
          </w:p>
        </w:tc>
        <w:tc>
          <w:tcPr>
            <w:tcW w:w="782" w:type="dxa"/>
            <w:tcBorders>
              <w:left w:val="single" w:sz="2" w:space="0" w:color="auto"/>
              <w:right w:val="single" w:sz="2" w:space="0" w:color="auto"/>
            </w:tcBorders>
            <w:hideMark/>
          </w:tcPr>
          <w:p w14:paraId="67320478" w14:textId="77777777" w:rsidR="00FE4DEF" w:rsidRDefault="00FE4DEF" w:rsidP="00FC19C2">
            <w:pPr>
              <w:pStyle w:val="NormalWeb"/>
              <w:jc w:val="center"/>
            </w:pPr>
            <w:r>
              <w:t>1,662</w:t>
            </w:r>
          </w:p>
        </w:tc>
        <w:tc>
          <w:tcPr>
            <w:tcW w:w="782" w:type="dxa"/>
            <w:tcBorders>
              <w:left w:val="single" w:sz="2" w:space="0" w:color="auto"/>
              <w:right w:val="single" w:sz="2" w:space="0" w:color="auto"/>
            </w:tcBorders>
            <w:hideMark/>
          </w:tcPr>
          <w:p w14:paraId="04E27079" w14:textId="77777777" w:rsidR="00FE4DEF" w:rsidRDefault="00FE4DEF" w:rsidP="00FC19C2">
            <w:pPr>
              <w:pStyle w:val="NormalWeb"/>
              <w:jc w:val="center"/>
            </w:pPr>
            <w:r>
              <w:t>1,623</w:t>
            </w:r>
          </w:p>
        </w:tc>
        <w:tc>
          <w:tcPr>
            <w:tcW w:w="782" w:type="dxa"/>
            <w:tcBorders>
              <w:left w:val="single" w:sz="2" w:space="0" w:color="auto"/>
              <w:right w:val="single" w:sz="2" w:space="0" w:color="auto"/>
            </w:tcBorders>
            <w:hideMark/>
          </w:tcPr>
          <w:p w14:paraId="7E01959D" w14:textId="77777777" w:rsidR="00FE4DEF" w:rsidRDefault="00FE4DEF" w:rsidP="00FC19C2">
            <w:pPr>
              <w:pStyle w:val="NormalWeb"/>
              <w:jc w:val="center"/>
            </w:pPr>
            <w:r>
              <w:t>3,316</w:t>
            </w:r>
          </w:p>
        </w:tc>
        <w:tc>
          <w:tcPr>
            <w:tcW w:w="782" w:type="dxa"/>
            <w:tcBorders>
              <w:left w:val="single" w:sz="2" w:space="0" w:color="auto"/>
              <w:right w:val="single" w:sz="2" w:space="0" w:color="auto"/>
            </w:tcBorders>
            <w:hideMark/>
          </w:tcPr>
          <w:p w14:paraId="1DD5A910" w14:textId="77777777" w:rsidR="00FE4DEF" w:rsidRDefault="00FE4DEF" w:rsidP="00FC19C2">
            <w:pPr>
              <w:pStyle w:val="NormalWeb"/>
              <w:jc w:val="center"/>
            </w:pPr>
            <w:r>
              <w:t>102.7</w:t>
            </w:r>
          </w:p>
        </w:tc>
        <w:tc>
          <w:tcPr>
            <w:tcW w:w="782" w:type="dxa"/>
            <w:tcBorders>
              <w:left w:val="single" w:sz="2" w:space="0" w:color="auto"/>
              <w:right w:val="single" w:sz="2" w:space="0" w:color="auto"/>
            </w:tcBorders>
            <w:hideMark/>
          </w:tcPr>
          <w:p w14:paraId="28C39C90" w14:textId="77777777" w:rsidR="00FE4DEF" w:rsidRDefault="00FE4DEF" w:rsidP="00FC19C2">
            <w:pPr>
              <w:pStyle w:val="NormalWeb"/>
              <w:jc w:val="center"/>
            </w:pPr>
            <w:r>
              <w:t>98</w:t>
            </w:r>
          </w:p>
        </w:tc>
        <w:tc>
          <w:tcPr>
            <w:tcW w:w="783" w:type="dxa"/>
            <w:tcBorders>
              <w:left w:val="single" w:sz="2" w:space="0" w:color="auto"/>
            </w:tcBorders>
            <w:hideMark/>
          </w:tcPr>
          <w:p w14:paraId="7359FA4E" w14:textId="77777777" w:rsidR="00FE4DEF" w:rsidRDefault="00FE4DEF" w:rsidP="00FC19C2">
            <w:pPr>
              <w:pStyle w:val="NormalWeb"/>
              <w:jc w:val="center"/>
            </w:pPr>
            <w:r>
              <w:t>101.3</w:t>
            </w:r>
          </w:p>
        </w:tc>
      </w:tr>
      <w:tr w:rsidR="0019775D" w14:paraId="534D08DA"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2015150A" w14:textId="77777777" w:rsidR="00FE4DEF" w:rsidRDefault="00FE4DEF">
            <w:pPr>
              <w:pStyle w:val="NormalWeb"/>
            </w:pPr>
            <w:r>
              <w:t>50—59</w:t>
            </w:r>
          </w:p>
        </w:tc>
        <w:tc>
          <w:tcPr>
            <w:tcW w:w="782" w:type="dxa"/>
            <w:tcBorders>
              <w:left w:val="single" w:sz="2" w:space="0" w:color="auto"/>
              <w:right w:val="single" w:sz="2" w:space="0" w:color="auto"/>
            </w:tcBorders>
            <w:hideMark/>
          </w:tcPr>
          <w:p w14:paraId="63D4F00E" w14:textId="77777777" w:rsidR="00FE4DEF" w:rsidRDefault="00FE4DEF" w:rsidP="00FC19C2">
            <w:pPr>
              <w:pStyle w:val="NormalWeb"/>
              <w:jc w:val="center"/>
            </w:pPr>
            <w:r>
              <w:t>88</w:t>
            </w:r>
          </w:p>
        </w:tc>
        <w:tc>
          <w:tcPr>
            <w:tcW w:w="782" w:type="dxa"/>
            <w:tcBorders>
              <w:left w:val="single" w:sz="2" w:space="0" w:color="auto"/>
              <w:right w:val="single" w:sz="2" w:space="0" w:color="auto"/>
            </w:tcBorders>
            <w:hideMark/>
          </w:tcPr>
          <w:p w14:paraId="7B0A379A" w14:textId="77777777" w:rsidR="00FE4DEF" w:rsidRDefault="00FE4DEF" w:rsidP="00FC19C2">
            <w:pPr>
              <w:pStyle w:val="NormalWeb"/>
              <w:jc w:val="center"/>
            </w:pPr>
            <w:r>
              <w:t>85</w:t>
            </w:r>
          </w:p>
        </w:tc>
        <w:tc>
          <w:tcPr>
            <w:tcW w:w="782" w:type="dxa"/>
            <w:tcBorders>
              <w:left w:val="single" w:sz="2" w:space="0" w:color="auto"/>
              <w:right w:val="single" w:sz="2" w:space="0" w:color="auto"/>
            </w:tcBorders>
            <w:hideMark/>
          </w:tcPr>
          <w:p w14:paraId="52040C13" w14:textId="77777777" w:rsidR="00FE4DEF" w:rsidRDefault="00FE4DEF" w:rsidP="00FC19C2">
            <w:pPr>
              <w:pStyle w:val="NormalWeb"/>
              <w:jc w:val="center"/>
            </w:pPr>
            <w:r>
              <w:t>173</w:t>
            </w:r>
          </w:p>
        </w:tc>
        <w:tc>
          <w:tcPr>
            <w:tcW w:w="782" w:type="dxa"/>
            <w:tcBorders>
              <w:left w:val="single" w:sz="2" w:space="0" w:color="auto"/>
              <w:right w:val="single" w:sz="2" w:space="0" w:color="auto"/>
            </w:tcBorders>
            <w:hideMark/>
          </w:tcPr>
          <w:p w14:paraId="00501BEF" w14:textId="77777777" w:rsidR="00FE4DEF" w:rsidRDefault="00FE4DEF" w:rsidP="00FC19C2">
            <w:pPr>
              <w:pStyle w:val="NormalWeb"/>
              <w:jc w:val="center"/>
            </w:pPr>
            <w:r>
              <w:t>5.8</w:t>
            </w:r>
          </w:p>
        </w:tc>
        <w:tc>
          <w:tcPr>
            <w:tcW w:w="782" w:type="dxa"/>
            <w:tcBorders>
              <w:left w:val="single" w:sz="2" w:space="0" w:color="auto"/>
              <w:right w:val="single" w:sz="2" w:space="0" w:color="auto"/>
            </w:tcBorders>
            <w:hideMark/>
          </w:tcPr>
          <w:p w14:paraId="1C4C49F0" w14:textId="77777777" w:rsidR="00FE4DEF" w:rsidRDefault="00FE4DEF" w:rsidP="00FC19C2">
            <w:pPr>
              <w:pStyle w:val="NormalWeb"/>
              <w:jc w:val="center"/>
            </w:pPr>
            <w:r>
              <w:t>5.4</w:t>
            </w:r>
          </w:p>
        </w:tc>
        <w:tc>
          <w:tcPr>
            <w:tcW w:w="782" w:type="dxa"/>
            <w:tcBorders>
              <w:left w:val="single" w:sz="2" w:space="0" w:color="auto"/>
              <w:right w:val="single" w:sz="2" w:space="0" w:color="auto"/>
            </w:tcBorders>
            <w:hideMark/>
          </w:tcPr>
          <w:p w14:paraId="35BD32D0" w14:textId="77777777" w:rsidR="00FE4DEF" w:rsidRDefault="00FE4DEF" w:rsidP="00FC19C2">
            <w:pPr>
              <w:pStyle w:val="NormalWeb"/>
              <w:jc w:val="center"/>
            </w:pPr>
            <w:r>
              <w:t>5.6</w:t>
            </w:r>
          </w:p>
        </w:tc>
        <w:tc>
          <w:tcPr>
            <w:tcW w:w="782" w:type="dxa"/>
            <w:tcBorders>
              <w:left w:val="single" w:sz="2" w:space="0" w:color="auto"/>
              <w:right w:val="single" w:sz="2" w:space="0" w:color="auto"/>
            </w:tcBorders>
            <w:hideMark/>
          </w:tcPr>
          <w:p w14:paraId="36532763" w14:textId="77777777" w:rsidR="00FE4DEF" w:rsidRDefault="00FE4DEF" w:rsidP="00FC19C2">
            <w:pPr>
              <w:pStyle w:val="NormalWeb"/>
              <w:jc w:val="center"/>
            </w:pPr>
            <w:r>
              <w:t>1,469</w:t>
            </w:r>
          </w:p>
        </w:tc>
        <w:tc>
          <w:tcPr>
            <w:tcW w:w="782" w:type="dxa"/>
            <w:tcBorders>
              <w:left w:val="single" w:sz="2" w:space="0" w:color="auto"/>
              <w:right w:val="single" w:sz="2" w:space="0" w:color="auto"/>
            </w:tcBorders>
            <w:hideMark/>
          </w:tcPr>
          <w:p w14:paraId="2F1AC1EE" w14:textId="77777777" w:rsidR="00FE4DEF" w:rsidRDefault="00FE4DEF" w:rsidP="00FC19C2">
            <w:pPr>
              <w:pStyle w:val="NormalWeb"/>
              <w:jc w:val="center"/>
            </w:pPr>
            <w:r>
              <w:t>1,587</w:t>
            </w:r>
          </w:p>
        </w:tc>
        <w:tc>
          <w:tcPr>
            <w:tcW w:w="782" w:type="dxa"/>
            <w:tcBorders>
              <w:left w:val="single" w:sz="2" w:space="0" w:color="auto"/>
              <w:right w:val="single" w:sz="2" w:space="0" w:color="auto"/>
            </w:tcBorders>
            <w:hideMark/>
          </w:tcPr>
          <w:p w14:paraId="308E8D72" w14:textId="77777777" w:rsidR="00FE4DEF" w:rsidRDefault="00FE4DEF" w:rsidP="00FC19C2">
            <w:pPr>
              <w:pStyle w:val="NormalWeb"/>
              <w:jc w:val="center"/>
            </w:pPr>
            <w:r>
              <w:t>3,066</w:t>
            </w:r>
          </w:p>
        </w:tc>
        <w:tc>
          <w:tcPr>
            <w:tcW w:w="782" w:type="dxa"/>
            <w:tcBorders>
              <w:left w:val="single" w:sz="2" w:space="0" w:color="auto"/>
              <w:right w:val="single" w:sz="2" w:space="0" w:color="auto"/>
            </w:tcBorders>
            <w:hideMark/>
          </w:tcPr>
          <w:p w14:paraId="67D51AEA" w14:textId="77777777" w:rsidR="00FE4DEF" w:rsidRDefault="00FE4DEF" w:rsidP="00FC19C2">
            <w:pPr>
              <w:pStyle w:val="NormalWeb"/>
              <w:jc w:val="center"/>
            </w:pPr>
            <w:r>
              <w:t>97.4</w:t>
            </w:r>
          </w:p>
        </w:tc>
        <w:tc>
          <w:tcPr>
            <w:tcW w:w="782" w:type="dxa"/>
            <w:tcBorders>
              <w:left w:val="single" w:sz="2" w:space="0" w:color="auto"/>
              <w:right w:val="single" w:sz="2" w:space="0" w:color="auto"/>
            </w:tcBorders>
            <w:hideMark/>
          </w:tcPr>
          <w:p w14:paraId="75766E4D" w14:textId="77777777" w:rsidR="00FE4DEF" w:rsidRDefault="00FE4DEF" w:rsidP="00FC19C2">
            <w:pPr>
              <w:pStyle w:val="NormalWeb"/>
              <w:jc w:val="center"/>
            </w:pPr>
            <w:r>
              <w:t>100.9</w:t>
            </w:r>
          </w:p>
        </w:tc>
        <w:tc>
          <w:tcPr>
            <w:tcW w:w="783" w:type="dxa"/>
            <w:tcBorders>
              <w:left w:val="single" w:sz="2" w:space="0" w:color="auto"/>
            </w:tcBorders>
            <w:hideMark/>
          </w:tcPr>
          <w:p w14:paraId="5B72845F" w14:textId="77777777" w:rsidR="00FE4DEF" w:rsidRDefault="00FE4DEF" w:rsidP="00FC19C2">
            <w:pPr>
              <w:pStyle w:val="NormalWeb"/>
              <w:jc w:val="center"/>
            </w:pPr>
            <w:r>
              <w:t>99.5</w:t>
            </w:r>
          </w:p>
        </w:tc>
      </w:tr>
      <w:tr w:rsidR="00FE4DEF" w14:paraId="27F4E3A0" w14:textId="77777777" w:rsidTr="00560482">
        <w:tc>
          <w:tcPr>
            <w:tcW w:w="0" w:type="auto"/>
            <w:tcBorders>
              <w:right w:val="single" w:sz="2" w:space="0" w:color="auto"/>
            </w:tcBorders>
            <w:hideMark/>
          </w:tcPr>
          <w:p w14:paraId="4D5972F4" w14:textId="77777777" w:rsidR="00FE4DEF" w:rsidRDefault="00FE4DEF">
            <w:pPr>
              <w:pStyle w:val="NormalWeb"/>
            </w:pPr>
            <w:r>
              <w:t>60—69</w:t>
            </w:r>
          </w:p>
        </w:tc>
        <w:tc>
          <w:tcPr>
            <w:tcW w:w="782" w:type="dxa"/>
            <w:tcBorders>
              <w:left w:val="single" w:sz="2" w:space="0" w:color="auto"/>
              <w:right w:val="single" w:sz="2" w:space="0" w:color="auto"/>
            </w:tcBorders>
            <w:hideMark/>
          </w:tcPr>
          <w:p w14:paraId="7B9BD9B9" w14:textId="77777777" w:rsidR="00FE4DEF" w:rsidRDefault="00FE4DEF" w:rsidP="00FC19C2">
            <w:pPr>
              <w:pStyle w:val="NormalWeb"/>
              <w:jc w:val="center"/>
            </w:pPr>
            <w:r>
              <w:t>52</w:t>
            </w:r>
          </w:p>
        </w:tc>
        <w:tc>
          <w:tcPr>
            <w:tcW w:w="782" w:type="dxa"/>
            <w:tcBorders>
              <w:left w:val="single" w:sz="2" w:space="0" w:color="auto"/>
              <w:right w:val="single" w:sz="2" w:space="0" w:color="auto"/>
            </w:tcBorders>
            <w:hideMark/>
          </w:tcPr>
          <w:p w14:paraId="24FC7B4E" w14:textId="77777777" w:rsidR="00FE4DEF" w:rsidRDefault="00FE4DEF" w:rsidP="00FC19C2">
            <w:pPr>
              <w:pStyle w:val="NormalWeb"/>
              <w:jc w:val="center"/>
            </w:pPr>
            <w:r>
              <w:t>55</w:t>
            </w:r>
          </w:p>
        </w:tc>
        <w:tc>
          <w:tcPr>
            <w:tcW w:w="782" w:type="dxa"/>
            <w:tcBorders>
              <w:left w:val="single" w:sz="2" w:space="0" w:color="auto"/>
              <w:right w:val="single" w:sz="2" w:space="0" w:color="auto"/>
            </w:tcBorders>
            <w:hideMark/>
          </w:tcPr>
          <w:p w14:paraId="051324CC" w14:textId="77777777" w:rsidR="00FE4DEF" w:rsidRDefault="00FE4DEF" w:rsidP="00FC19C2">
            <w:pPr>
              <w:pStyle w:val="NormalWeb"/>
              <w:jc w:val="center"/>
            </w:pPr>
            <w:r>
              <w:t>107</w:t>
            </w:r>
          </w:p>
        </w:tc>
        <w:tc>
          <w:tcPr>
            <w:tcW w:w="782" w:type="dxa"/>
            <w:tcBorders>
              <w:left w:val="single" w:sz="2" w:space="0" w:color="auto"/>
              <w:right w:val="single" w:sz="2" w:space="0" w:color="auto"/>
            </w:tcBorders>
            <w:hideMark/>
          </w:tcPr>
          <w:p w14:paraId="4A776832"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61E527F2"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2F3A4A54" w14:textId="77777777" w:rsidR="00FE4DEF" w:rsidRDefault="00FE4DEF" w:rsidP="00FC19C2">
            <w:pPr>
              <w:pStyle w:val="NormalWeb"/>
              <w:jc w:val="center"/>
            </w:pPr>
            <w:r>
              <w:t>4.1</w:t>
            </w:r>
          </w:p>
        </w:tc>
        <w:tc>
          <w:tcPr>
            <w:tcW w:w="782" w:type="dxa"/>
            <w:tcBorders>
              <w:left w:val="single" w:sz="2" w:space="0" w:color="auto"/>
              <w:right w:val="single" w:sz="2" w:space="0" w:color="auto"/>
            </w:tcBorders>
            <w:hideMark/>
          </w:tcPr>
          <w:p w14:paraId="6A424311" w14:textId="77777777" w:rsidR="00FE4DEF" w:rsidRDefault="00FE4DEF" w:rsidP="00FC19C2">
            <w:pPr>
              <w:pStyle w:val="NormalWeb"/>
              <w:jc w:val="center"/>
            </w:pPr>
            <w:r>
              <w:t>1,098</w:t>
            </w:r>
          </w:p>
        </w:tc>
        <w:tc>
          <w:tcPr>
            <w:tcW w:w="782" w:type="dxa"/>
            <w:tcBorders>
              <w:left w:val="single" w:sz="2" w:space="0" w:color="auto"/>
              <w:right w:val="single" w:sz="2" w:space="0" w:color="auto"/>
            </w:tcBorders>
            <w:hideMark/>
          </w:tcPr>
          <w:p w14:paraId="0B13D91E" w14:textId="77777777" w:rsidR="00FE4DEF" w:rsidRDefault="00FE4DEF" w:rsidP="00FC19C2">
            <w:pPr>
              <w:pStyle w:val="NormalWeb"/>
              <w:jc w:val="center"/>
            </w:pPr>
            <w:r>
              <w:t>1,139</w:t>
            </w:r>
          </w:p>
        </w:tc>
        <w:tc>
          <w:tcPr>
            <w:tcW w:w="782" w:type="dxa"/>
            <w:tcBorders>
              <w:left w:val="single" w:sz="2" w:space="0" w:color="auto"/>
              <w:right w:val="single" w:sz="2" w:space="0" w:color="auto"/>
            </w:tcBorders>
            <w:hideMark/>
          </w:tcPr>
          <w:p w14:paraId="137D03A1" w14:textId="77777777" w:rsidR="00FE4DEF" w:rsidRDefault="00FE4DEF" w:rsidP="00FC19C2">
            <w:pPr>
              <w:pStyle w:val="NormalWeb"/>
              <w:jc w:val="center"/>
            </w:pPr>
            <w:r>
              <w:t>2,239</w:t>
            </w:r>
          </w:p>
        </w:tc>
        <w:tc>
          <w:tcPr>
            <w:tcW w:w="782" w:type="dxa"/>
            <w:tcBorders>
              <w:left w:val="single" w:sz="2" w:space="0" w:color="auto"/>
              <w:right w:val="single" w:sz="2" w:space="0" w:color="auto"/>
            </w:tcBorders>
            <w:hideMark/>
          </w:tcPr>
          <w:p w14:paraId="3E010603" w14:textId="77777777" w:rsidR="00FE4DEF" w:rsidRDefault="00FE4DEF" w:rsidP="00FC19C2">
            <w:pPr>
              <w:pStyle w:val="NormalWeb"/>
              <w:jc w:val="center"/>
            </w:pPr>
            <w:r>
              <w:t>86.4</w:t>
            </w:r>
          </w:p>
        </w:tc>
        <w:tc>
          <w:tcPr>
            <w:tcW w:w="782" w:type="dxa"/>
            <w:tcBorders>
              <w:left w:val="single" w:sz="2" w:space="0" w:color="auto"/>
              <w:right w:val="single" w:sz="2" w:space="0" w:color="auto"/>
            </w:tcBorders>
            <w:hideMark/>
          </w:tcPr>
          <w:p w14:paraId="485088B7" w14:textId="77777777" w:rsidR="00FE4DEF" w:rsidRDefault="00FE4DEF" w:rsidP="00FC19C2">
            <w:pPr>
              <w:pStyle w:val="NormalWeb"/>
              <w:jc w:val="center"/>
            </w:pPr>
            <w:r>
              <w:t>84.9</w:t>
            </w:r>
          </w:p>
        </w:tc>
        <w:tc>
          <w:tcPr>
            <w:tcW w:w="783" w:type="dxa"/>
            <w:tcBorders>
              <w:left w:val="single" w:sz="2" w:space="0" w:color="auto"/>
            </w:tcBorders>
            <w:hideMark/>
          </w:tcPr>
          <w:p w14:paraId="5499B656" w14:textId="77777777" w:rsidR="00FE4DEF" w:rsidRDefault="00FE4DEF" w:rsidP="00FC19C2">
            <w:pPr>
              <w:pStyle w:val="NormalWeb"/>
              <w:jc w:val="center"/>
            </w:pPr>
            <w:r>
              <w:t>85.7</w:t>
            </w:r>
          </w:p>
        </w:tc>
      </w:tr>
      <w:tr w:rsidR="0019775D" w14:paraId="51CA250C"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78CD378E" w14:textId="77777777" w:rsidR="00FE4DEF" w:rsidRDefault="00FE4DEF">
            <w:pPr>
              <w:pStyle w:val="NormalWeb"/>
            </w:pPr>
            <w:r>
              <w:t>70—79</w:t>
            </w:r>
          </w:p>
        </w:tc>
        <w:tc>
          <w:tcPr>
            <w:tcW w:w="782" w:type="dxa"/>
            <w:tcBorders>
              <w:left w:val="single" w:sz="2" w:space="0" w:color="auto"/>
              <w:right w:val="single" w:sz="2" w:space="0" w:color="auto"/>
            </w:tcBorders>
            <w:hideMark/>
          </w:tcPr>
          <w:p w14:paraId="73D938E5" w14:textId="77777777" w:rsidR="00FE4DEF" w:rsidRDefault="00FE4DEF" w:rsidP="00FC19C2">
            <w:pPr>
              <w:pStyle w:val="NormalWeb"/>
              <w:jc w:val="center"/>
            </w:pPr>
            <w:r>
              <w:t>48</w:t>
            </w:r>
          </w:p>
        </w:tc>
        <w:tc>
          <w:tcPr>
            <w:tcW w:w="782" w:type="dxa"/>
            <w:tcBorders>
              <w:left w:val="single" w:sz="2" w:space="0" w:color="auto"/>
              <w:right w:val="single" w:sz="2" w:space="0" w:color="auto"/>
            </w:tcBorders>
            <w:hideMark/>
          </w:tcPr>
          <w:p w14:paraId="6F68A233" w14:textId="77777777" w:rsidR="00FE4DEF" w:rsidRDefault="00FE4DEF" w:rsidP="00FC19C2">
            <w:pPr>
              <w:pStyle w:val="NormalWeb"/>
              <w:jc w:val="center"/>
            </w:pPr>
            <w:r>
              <w:t>43</w:t>
            </w:r>
          </w:p>
        </w:tc>
        <w:tc>
          <w:tcPr>
            <w:tcW w:w="782" w:type="dxa"/>
            <w:tcBorders>
              <w:left w:val="single" w:sz="2" w:space="0" w:color="auto"/>
              <w:right w:val="single" w:sz="2" w:space="0" w:color="auto"/>
            </w:tcBorders>
            <w:hideMark/>
          </w:tcPr>
          <w:p w14:paraId="1C2365DB" w14:textId="77777777" w:rsidR="00FE4DEF" w:rsidRDefault="00FE4DEF" w:rsidP="00FC19C2">
            <w:pPr>
              <w:pStyle w:val="NormalWeb"/>
              <w:jc w:val="center"/>
            </w:pPr>
            <w:r>
              <w:t>91</w:t>
            </w:r>
          </w:p>
        </w:tc>
        <w:tc>
          <w:tcPr>
            <w:tcW w:w="782" w:type="dxa"/>
            <w:tcBorders>
              <w:left w:val="single" w:sz="2" w:space="0" w:color="auto"/>
              <w:right w:val="single" w:sz="2" w:space="0" w:color="auto"/>
            </w:tcBorders>
            <w:hideMark/>
          </w:tcPr>
          <w:p w14:paraId="1507489F" w14:textId="77777777" w:rsidR="00FE4DEF" w:rsidRDefault="00FE4DEF" w:rsidP="00FC19C2">
            <w:pPr>
              <w:pStyle w:val="NormalWeb"/>
              <w:jc w:val="center"/>
            </w:pPr>
            <w:r>
              <w:t>5.5</w:t>
            </w:r>
          </w:p>
        </w:tc>
        <w:tc>
          <w:tcPr>
            <w:tcW w:w="782" w:type="dxa"/>
            <w:tcBorders>
              <w:left w:val="single" w:sz="2" w:space="0" w:color="auto"/>
              <w:right w:val="single" w:sz="2" w:space="0" w:color="auto"/>
            </w:tcBorders>
            <w:hideMark/>
          </w:tcPr>
          <w:p w14:paraId="5379A8DE" w14:textId="77777777" w:rsidR="00FE4DEF" w:rsidRDefault="00FE4DEF" w:rsidP="00FC19C2">
            <w:pPr>
              <w:pStyle w:val="NormalWeb"/>
              <w:jc w:val="center"/>
            </w:pPr>
            <w:r>
              <w:t>4.7</w:t>
            </w:r>
          </w:p>
        </w:tc>
        <w:tc>
          <w:tcPr>
            <w:tcW w:w="782" w:type="dxa"/>
            <w:tcBorders>
              <w:left w:val="single" w:sz="2" w:space="0" w:color="auto"/>
              <w:right w:val="single" w:sz="2" w:space="0" w:color="auto"/>
            </w:tcBorders>
            <w:hideMark/>
          </w:tcPr>
          <w:p w14:paraId="7D5033D2" w14:textId="77777777" w:rsidR="00FE4DEF" w:rsidRDefault="00FE4DEF" w:rsidP="00FC19C2">
            <w:pPr>
              <w:pStyle w:val="NormalWeb"/>
              <w:jc w:val="center"/>
            </w:pPr>
            <w:r>
              <w:t>5.1</w:t>
            </w:r>
          </w:p>
        </w:tc>
        <w:tc>
          <w:tcPr>
            <w:tcW w:w="782" w:type="dxa"/>
            <w:tcBorders>
              <w:left w:val="single" w:sz="2" w:space="0" w:color="auto"/>
              <w:right w:val="single" w:sz="2" w:space="0" w:color="auto"/>
            </w:tcBorders>
            <w:hideMark/>
          </w:tcPr>
          <w:p w14:paraId="08E10411" w14:textId="77777777" w:rsidR="00FE4DEF" w:rsidRDefault="00FE4DEF" w:rsidP="00FC19C2">
            <w:pPr>
              <w:pStyle w:val="NormalWeb"/>
              <w:jc w:val="center"/>
            </w:pPr>
            <w:r>
              <w:t>806</w:t>
            </w:r>
          </w:p>
        </w:tc>
        <w:tc>
          <w:tcPr>
            <w:tcW w:w="782" w:type="dxa"/>
            <w:tcBorders>
              <w:left w:val="single" w:sz="2" w:space="0" w:color="auto"/>
              <w:right w:val="single" w:sz="2" w:space="0" w:color="auto"/>
            </w:tcBorders>
            <w:hideMark/>
          </w:tcPr>
          <w:p w14:paraId="3B65AE8F" w14:textId="77777777" w:rsidR="00FE4DEF" w:rsidRDefault="00FE4DEF" w:rsidP="00FC19C2">
            <w:pPr>
              <w:pStyle w:val="NormalWeb"/>
              <w:jc w:val="center"/>
            </w:pPr>
            <w:r>
              <w:t>711</w:t>
            </w:r>
          </w:p>
        </w:tc>
        <w:tc>
          <w:tcPr>
            <w:tcW w:w="782" w:type="dxa"/>
            <w:tcBorders>
              <w:left w:val="single" w:sz="2" w:space="0" w:color="auto"/>
              <w:right w:val="single" w:sz="2" w:space="0" w:color="auto"/>
            </w:tcBorders>
            <w:hideMark/>
          </w:tcPr>
          <w:p w14:paraId="46E66822" w14:textId="77777777" w:rsidR="00FE4DEF" w:rsidRDefault="00FE4DEF" w:rsidP="00FC19C2">
            <w:pPr>
              <w:pStyle w:val="NormalWeb"/>
              <w:jc w:val="center"/>
            </w:pPr>
            <w:r>
              <w:t>1,517</w:t>
            </w:r>
          </w:p>
        </w:tc>
        <w:tc>
          <w:tcPr>
            <w:tcW w:w="782" w:type="dxa"/>
            <w:tcBorders>
              <w:left w:val="single" w:sz="2" w:space="0" w:color="auto"/>
              <w:right w:val="single" w:sz="2" w:space="0" w:color="auto"/>
            </w:tcBorders>
            <w:hideMark/>
          </w:tcPr>
          <w:p w14:paraId="1035C56F" w14:textId="77777777" w:rsidR="00FE4DEF" w:rsidRDefault="00FE4DEF" w:rsidP="00FC19C2">
            <w:pPr>
              <w:pStyle w:val="NormalWeb"/>
              <w:jc w:val="center"/>
            </w:pPr>
            <w:r>
              <w:t>92.6</w:t>
            </w:r>
          </w:p>
        </w:tc>
        <w:tc>
          <w:tcPr>
            <w:tcW w:w="782" w:type="dxa"/>
            <w:tcBorders>
              <w:left w:val="single" w:sz="2" w:space="0" w:color="auto"/>
              <w:right w:val="single" w:sz="2" w:space="0" w:color="auto"/>
            </w:tcBorders>
            <w:hideMark/>
          </w:tcPr>
          <w:p w14:paraId="79E3E812" w14:textId="77777777" w:rsidR="00FE4DEF" w:rsidRDefault="00FE4DEF" w:rsidP="00FC19C2">
            <w:pPr>
              <w:pStyle w:val="NormalWeb"/>
              <w:jc w:val="center"/>
            </w:pPr>
            <w:r>
              <w:t>77.1</w:t>
            </w:r>
          </w:p>
        </w:tc>
        <w:tc>
          <w:tcPr>
            <w:tcW w:w="783" w:type="dxa"/>
            <w:tcBorders>
              <w:left w:val="single" w:sz="2" w:space="0" w:color="auto"/>
            </w:tcBorders>
            <w:hideMark/>
          </w:tcPr>
          <w:p w14:paraId="374AF5F2" w14:textId="77777777" w:rsidR="00FE4DEF" w:rsidRDefault="00FE4DEF" w:rsidP="00FC19C2">
            <w:pPr>
              <w:pStyle w:val="NormalWeb"/>
              <w:jc w:val="center"/>
            </w:pPr>
            <w:r>
              <w:t>84.6</w:t>
            </w:r>
          </w:p>
        </w:tc>
      </w:tr>
      <w:tr w:rsidR="00FE4DEF" w14:paraId="75D10944" w14:textId="77777777" w:rsidTr="00560482">
        <w:tc>
          <w:tcPr>
            <w:tcW w:w="0" w:type="auto"/>
            <w:tcBorders>
              <w:right w:val="single" w:sz="2" w:space="0" w:color="auto"/>
            </w:tcBorders>
            <w:hideMark/>
          </w:tcPr>
          <w:p w14:paraId="52FC18EC" w14:textId="77777777" w:rsidR="00FE4DEF" w:rsidRDefault="00FE4DEF">
            <w:pPr>
              <w:pStyle w:val="NormalWeb"/>
            </w:pPr>
            <w:r>
              <w:t>80—89</w:t>
            </w:r>
          </w:p>
        </w:tc>
        <w:tc>
          <w:tcPr>
            <w:tcW w:w="782" w:type="dxa"/>
            <w:tcBorders>
              <w:left w:val="single" w:sz="2" w:space="0" w:color="auto"/>
              <w:right w:val="single" w:sz="2" w:space="0" w:color="auto"/>
            </w:tcBorders>
            <w:hideMark/>
          </w:tcPr>
          <w:p w14:paraId="2C54EE3A" w14:textId="77777777" w:rsidR="00FE4DEF" w:rsidRDefault="00FE4DEF" w:rsidP="00FC19C2">
            <w:pPr>
              <w:pStyle w:val="NormalWeb"/>
              <w:jc w:val="center"/>
            </w:pPr>
            <w:r>
              <w:t>45</w:t>
            </w:r>
          </w:p>
        </w:tc>
        <w:tc>
          <w:tcPr>
            <w:tcW w:w="782" w:type="dxa"/>
            <w:tcBorders>
              <w:left w:val="single" w:sz="2" w:space="0" w:color="auto"/>
              <w:right w:val="single" w:sz="2" w:space="0" w:color="auto"/>
            </w:tcBorders>
            <w:hideMark/>
          </w:tcPr>
          <w:p w14:paraId="5143EE67" w14:textId="77777777" w:rsidR="00FE4DEF" w:rsidRDefault="00FE4DEF" w:rsidP="00FC19C2">
            <w:pPr>
              <w:pStyle w:val="NormalWeb"/>
              <w:jc w:val="center"/>
            </w:pPr>
            <w:r>
              <w:t>85</w:t>
            </w:r>
          </w:p>
        </w:tc>
        <w:tc>
          <w:tcPr>
            <w:tcW w:w="782" w:type="dxa"/>
            <w:tcBorders>
              <w:left w:val="single" w:sz="2" w:space="0" w:color="auto"/>
              <w:right w:val="single" w:sz="2" w:space="0" w:color="auto"/>
            </w:tcBorders>
            <w:hideMark/>
          </w:tcPr>
          <w:p w14:paraId="361DBC43" w14:textId="77777777" w:rsidR="00FE4DEF" w:rsidRDefault="00FE4DEF" w:rsidP="00FC19C2">
            <w:pPr>
              <w:pStyle w:val="NormalWeb"/>
              <w:jc w:val="center"/>
            </w:pPr>
            <w:r>
              <w:t>130</w:t>
            </w:r>
          </w:p>
        </w:tc>
        <w:tc>
          <w:tcPr>
            <w:tcW w:w="782" w:type="dxa"/>
            <w:tcBorders>
              <w:left w:val="single" w:sz="2" w:space="0" w:color="auto"/>
              <w:right w:val="single" w:sz="2" w:space="0" w:color="auto"/>
            </w:tcBorders>
            <w:hideMark/>
          </w:tcPr>
          <w:p w14:paraId="2DCC1DD3" w14:textId="77777777" w:rsidR="00FE4DEF" w:rsidRDefault="00FE4DEF" w:rsidP="00FC19C2">
            <w:pPr>
              <w:pStyle w:val="NormalWeb"/>
              <w:jc w:val="center"/>
            </w:pPr>
            <w:r>
              <w:t>12.6</w:t>
            </w:r>
          </w:p>
        </w:tc>
        <w:tc>
          <w:tcPr>
            <w:tcW w:w="782" w:type="dxa"/>
            <w:tcBorders>
              <w:left w:val="single" w:sz="2" w:space="0" w:color="auto"/>
              <w:right w:val="single" w:sz="2" w:space="0" w:color="auto"/>
            </w:tcBorders>
            <w:hideMark/>
          </w:tcPr>
          <w:p w14:paraId="0AA0E612" w14:textId="77777777" w:rsidR="00FE4DEF" w:rsidRDefault="00FE4DEF" w:rsidP="00FC19C2">
            <w:pPr>
              <w:pStyle w:val="NormalWeb"/>
              <w:jc w:val="center"/>
            </w:pPr>
            <w:r>
              <w:t>18.4</w:t>
            </w:r>
          </w:p>
        </w:tc>
        <w:tc>
          <w:tcPr>
            <w:tcW w:w="782" w:type="dxa"/>
            <w:tcBorders>
              <w:left w:val="single" w:sz="2" w:space="0" w:color="auto"/>
              <w:right w:val="single" w:sz="2" w:space="0" w:color="auto"/>
            </w:tcBorders>
            <w:hideMark/>
          </w:tcPr>
          <w:p w14:paraId="59A6FFC7" w14:textId="77777777" w:rsidR="00FE4DEF" w:rsidRDefault="00FE4DEF" w:rsidP="00FC19C2">
            <w:pPr>
              <w:pStyle w:val="NormalWeb"/>
              <w:jc w:val="center"/>
            </w:pPr>
            <w:r>
              <w:t>15.9</w:t>
            </w:r>
          </w:p>
        </w:tc>
        <w:tc>
          <w:tcPr>
            <w:tcW w:w="782" w:type="dxa"/>
            <w:tcBorders>
              <w:left w:val="single" w:sz="2" w:space="0" w:color="auto"/>
              <w:right w:val="single" w:sz="2" w:space="0" w:color="auto"/>
            </w:tcBorders>
            <w:hideMark/>
          </w:tcPr>
          <w:p w14:paraId="76AF5AD1" w14:textId="77777777" w:rsidR="00FE4DEF" w:rsidRDefault="00FE4DEF" w:rsidP="00FC19C2">
            <w:pPr>
              <w:pStyle w:val="NormalWeb"/>
              <w:jc w:val="center"/>
            </w:pPr>
            <w:r>
              <w:t>457</w:t>
            </w:r>
          </w:p>
        </w:tc>
        <w:tc>
          <w:tcPr>
            <w:tcW w:w="782" w:type="dxa"/>
            <w:tcBorders>
              <w:left w:val="single" w:sz="2" w:space="0" w:color="auto"/>
              <w:right w:val="single" w:sz="2" w:space="0" w:color="auto"/>
            </w:tcBorders>
            <w:hideMark/>
          </w:tcPr>
          <w:p w14:paraId="403C08D9" w14:textId="77777777" w:rsidR="00FE4DEF" w:rsidRDefault="00FE4DEF" w:rsidP="00FC19C2">
            <w:pPr>
              <w:pStyle w:val="NormalWeb"/>
              <w:jc w:val="center"/>
            </w:pPr>
            <w:r>
              <w:t>726</w:t>
            </w:r>
          </w:p>
        </w:tc>
        <w:tc>
          <w:tcPr>
            <w:tcW w:w="782" w:type="dxa"/>
            <w:tcBorders>
              <w:left w:val="single" w:sz="2" w:space="0" w:color="auto"/>
              <w:right w:val="single" w:sz="2" w:space="0" w:color="auto"/>
            </w:tcBorders>
            <w:hideMark/>
          </w:tcPr>
          <w:p w14:paraId="5A2C4FA9" w14:textId="77777777" w:rsidR="00FE4DEF" w:rsidRDefault="00FE4DEF" w:rsidP="00FC19C2">
            <w:pPr>
              <w:pStyle w:val="NormalWeb"/>
              <w:jc w:val="center"/>
            </w:pPr>
            <w:r>
              <w:t>1,183</w:t>
            </w:r>
          </w:p>
        </w:tc>
        <w:tc>
          <w:tcPr>
            <w:tcW w:w="782" w:type="dxa"/>
            <w:tcBorders>
              <w:left w:val="single" w:sz="2" w:space="0" w:color="auto"/>
              <w:right w:val="single" w:sz="2" w:space="0" w:color="auto"/>
            </w:tcBorders>
            <w:hideMark/>
          </w:tcPr>
          <w:p w14:paraId="70F8F6A2" w14:textId="77777777" w:rsidR="00FE4DEF" w:rsidRDefault="00FE4DEF" w:rsidP="00FC19C2">
            <w:pPr>
              <w:pStyle w:val="NormalWeb"/>
              <w:jc w:val="center"/>
            </w:pPr>
            <w:r>
              <w:t>127.8</w:t>
            </w:r>
          </w:p>
        </w:tc>
        <w:tc>
          <w:tcPr>
            <w:tcW w:w="782" w:type="dxa"/>
            <w:tcBorders>
              <w:left w:val="single" w:sz="2" w:space="0" w:color="auto"/>
              <w:right w:val="single" w:sz="2" w:space="0" w:color="auto"/>
            </w:tcBorders>
            <w:hideMark/>
          </w:tcPr>
          <w:p w14:paraId="1A1AA8CE" w14:textId="77777777" w:rsidR="00FE4DEF" w:rsidRDefault="00FE4DEF" w:rsidP="00FC19C2">
            <w:pPr>
              <w:pStyle w:val="NormalWeb"/>
              <w:jc w:val="center"/>
            </w:pPr>
            <w:r>
              <w:t>157.5</w:t>
            </w:r>
          </w:p>
        </w:tc>
        <w:tc>
          <w:tcPr>
            <w:tcW w:w="783" w:type="dxa"/>
            <w:tcBorders>
              <w:left w:val="single" w:sz="2" w:space="0" w:color="auto"/>
            </w:tcBorders>
            <w:hideMark/>
          </w:tcPr>
          <w:p w14:paraId="0BCA955F" w14:textId="77777777" w:rsidR="00FE4DEF" w:rsidRDefault="00FE4DEF" w:rsidP="00FC19C2">
            <w:pPr>
              <w:pStyle w:val="NormalWeb"/>
              <w:jc w:val="center"/>
            </w:pPr>
            <w:r>
              <w:t>144.5</w:t>
            </w:r>
          </w:p>
        </w:tc>
      </w:tr>
      <w:tr w:rsidR="0019775D" w14:paraId="645FC5B7" w14:textId="77777777" w:rsidTr="00560482">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auto"/>
            </w:tcBorders>
            <w:hideMark/>
          </w:tcPr>
          <w:p w14:paraId="6F5D78E6" w14:textId="77777777" w:rsidR="00FE4DEF" w:rsidRDefault="00FE4DEF">
            <w:pPr>
              <w:pStyle w:val="NormalWeb"/>
            </w:pPr>
            <w:r>
              <w:t>90 +</w:t>
            </w:r>
          </w:p>
        </w:tc>
        <w:tc>
          <w:tcPr>
            <w:tcW w:w="782" w:type="dxa"/>
            <w:tcBorders>
              <w:left w:val="single" w:sz="2" w:space="0" w:color="auto"/>
              <w:right w:val="single" w:sz="2" w:space="0" w:color="auto"/>
            </w:tcBorders>
            <w:hideMark/>
          </w:tcPr>
          <w:p w14:paraId="6FF411DA" w14:textId="77777777" w:rsidR="00FE4DEF" w:rsidRDefault="00FE4DEF" w:rsidP="00FC19C2">
            <w:pPr>
              <w:pStyle w:val="NormalWeb"/>
              <w:jc w:val="center"/>
            </w:pPr>
            <w:r>
              <w:t>28</w:t>
            </w:r>
          </w:p>
        </w:tc>
        <w:tc>
          <w:tcPr>
            <w:tcW w:w="782" w:type="dxa"/>
            <w:tcBorders>
              <w:left w:val="single" w:sz="2" w:space="0" w:color="auto"/>
              <w:right w:val="single" w:sz="2" w:space="0" w:color="auto"/>
            </w:tcBorders>
            <w:hideMark/>
          </w:tcPr>
          <w:p w14:paraId="015DD39B" w14:textId="77777777" w:rsidR="00FE4DEF" w:rsidRDefault="00FE4DEF" w:rsidP="00FC19C2">
            <w:pPr>
              <w:pStyle w:val="NormalWeb"/>
              <w:jc w:val="center"/>
            </w:pPr>
            <w:r>
              <w:t>76</w:t>
            </w:r>
          </w:p>
        </w:tc>
        <w:tc>
          <w:tcPr>
            <w:tcW w:w="782" w:type="dxa"/>
            <w:tcBorders>
              <w:left w:val="single" w:sz="2" w:space="0" w:color="auto"/>
              <w:right w:val="single" w:sz="2" w:space="0" w:color="auto"/>
            </w:tcBorders>
            <w:hideMark/>
          </w:tcPr>
          <w:p w14:paraId="078B9B15" w14:textId="77777777" w:rsidR="00FE4DEF" w:rsidRDefault="00FE4DEF" w:rsidP="00FC19C2">
            <w:pPr>
              <w:pStyle w:val="NormalWeb"/>
              <w:jc w:val="center"/>
            </w:pPr>
            <w:r>
              <w:t>104</w:t>
            </w:r>
          </w:p>
        </w:tc>
        <w:tc>
          <w:tcPr>
            <w:tcW w:w="782" w:type="dxa"/>
            <w:tcBorders>
              <w:left w:val="single" w:sz="2" w:space="0" w:color="auto"/>
              <w:right w:val="single" w:sz="2" w:space="0" w:color="auto"/>
            </w:tcBorders>
            <w:hideMark/>
          </w:tcPr>
          <w:p w14:paraId="11C929D5" w14:textId="77777777" w:rsidR="00FE4DEF" w:rsidRDefault="00FE4DEF" w:rsidP="00FC19C2">
            <w:pPr>
              <w:pStyle w:val="NormalWeb"/>
              <w:jc w:val="center"/>
            </w:pPr>
            <w:r>
              <w:t>40.6</w:t>
            </w:r>
          </w:p>
        </w:tc>
        <w:tc>
          <w:tcPr>
            <w:tcW w:w="782" w:type="dxa"/>
            <w:tcBorders>
              <w:left w:val="single" w:sz="2" w:space="0" w:color="auto"/>
              <w:right w:val="single" w:sz="2" w:space="0" w:color="auto"/>
            </w:tcBorders>
            <w:hideMark/>
          </w:tcPr>
          <w:p w14:paraId="6D568E01" w14:textId="77777777" w:rsidR="00FE4DEF" w:rsidRDefault="00FE4DEF" w:rsidP="00FC19C2">
            <w:pPr>
              <w:pStyle w:val="NormalWeb"/>
              <w:jc w:val="center"/>
            </w:pPr>
            <w:r>
              <w:t>56.8</w:t>
            </w:r>
          </w:p>
        </w:tc>
        <w:tc>
          <w:tcPr>
            <w:tcW w:w="782" w:type="dxa"/>
            <w:tcBorders>
              <w:left w:val="single" w:sz="2" w:space="0" w:color="auto"/>
              <w:right w:val="single" w:sz="2" w:space="0" w:color="auto"/>
            </w:tcBorders>
            <w:hideMark/>
          </w:tcPr>
          <w:p w14:paraId="2C92B8B5" w14:textId="77777777" w:rsidR="00FE4DEF" w:rsidRDefault="00FE4DEF" w:rsidP="00FC19C2">
            <w:pPr>
              <w:pStyle w:val="NormalWeb"/>
              <w:jc w:val="center"/>
            </w:pPr>
            <w:r>
              <w:t>51.3</w:t>
            </w:r>
          </w:p>
        </w:tc>
        <w:tc>
          <w:tcPr>
            <w:tcW w:w="782" w:type="dxa"/>
            <w:tcBorders>
              <w:left w:val="single" w:sz="2" w:space="0" w:color="auto"/>
              <w:right w:val="single" w:sz="2" w:space="0" w:color="auto"/>
            </w:tcBorders>
            <w:hideMark/>
          </w:tcPr>
          <w:p w14:paraId="13C4CF0C" w14:textId="77777777" w:rsidR="00FE4DEF" w:rsidRDefault="00FE4DEF" w:rsidP="00FC19C2">
            <w:pPr>
              <w:pStyle w:val="NormalWeb"/>
              <w:jc w:val="center"/>
            </w:pPr>
            <w:r>
              <w:t>210</w:t>
            </w:r>
          </w:p>
        </w:tc>
        <w:tc>
          <w:tcPr>
            <w:tcW w:w="782" w:type="dxa"/>
            <w:tcBorders>
              <w:left w:val="single" w:sz="2" w:space="0" w:color="auto"/>
              <w:right w:val="single" w:sz="2" w:space="0" w:color="auto"/>
            </w:tcBorders>
            <w:hideMark/>
          </w:tcPr>
          <w:p w14:paraId="0047CA4B" w14:textId="77777777" w:rsidR="00FE4DEF" w:rsidRDefault="00FE4DEF" w:rsidP="00FC19C2">
            <w:pPr>
              <w:pStyle w:val="NormalWeb"/>
              <w:jc w:val="center"/>
            </w:pPr>
            <w:r>
              <w:t>501</w:t>
            </w:r>
          </w:p>
        </w:tc>
        <w:tc>
          <w:tcPr>
            <w:tcW w:w="782" w:type="dxa"/>
            <w:tcBorders>
              <w:left w:val="single" w:sz="2" w:space="0" w:color="auto"/>
              <w:right w:val="single" w:sz="2" w:space="0" w:color="auto"/>
            </w:tcBorders>
            <w:hideMark/>
          </w:tcPr>
          <w:p w14:paraId="5D2844EF" w14:textId="77777777" w:rsidR="00FE4DEF" w:rsidRDefault="00FE4DEF" w:rsidP="00FC19C2">
            <w:pPr>
              <w:pStyle w:val="NormalWeb"/>
              <w:jc w:val="center"/>
            </w:pPr>
            <w:r>
              <w:t>712</w:t>
            </w:r>
          </w:p>
        </w:tc>
        <w:tc>
          <w:tcPr>
            <w:tcW w:w="782" w:type="dxa"/>
            <w:tcBorders>
              <w:left w:val="single" w:sz="2" w:space="0" w:color="auto"/>
              <w:right w:val="single" w:sz="2" w:space="0" w:color="auto"/>
            </w:tcBorders>
            <w:hideMark/>
          </w:tcPr>
          <w:p w14:paraId="6CE96CAD" w14:textId="77777777" w:rsidR="00FE4DEF" w:rsidRDefault="00FE4DEF" w:rsidP="00FC19C2">
            <w:pPr>
              <w:pStyle w:val="NormalWeb"/>
              <w:jc w:val="center"/>
            </w:pPr>
            <w:r>
              <w:t>304.5</w:t>
            </w:r>
          </w:p>
        </w:tc>
        <w:tc>
          <w:tcPr>
            <w:tcW w:w="782" w:type="dxa"/>
            <w:tcBorders>
              <w:left w:val="single" w:sz="2" w:space="0" w:color="auto"/>
              <w:right w:val="single" w:sz="2" w:space="0" w:color="auto"/>
            </w:tcBorders>
            <w:hideMark/>
          </w:tcPr>
          <w:p w14:paraId="51FB07A2" w14:textId="77777777" w:rsidR="00FE4DEF" w:rsidRDefault="00FE4DEF" w:rsidP="00FC19C2">
            <w:pPr>
              <w:pStyle w:val="NormalWeb"/>
              <w:jc w:val="center"/>
            </w:pPr>
            <w:r>
              <w:t>374.7</w:t>
            </w:r>
          </w:p>
        </w:tc>
        <w:tc>
          <w:tcPr>
            <w:tcW w:w="783" w:type="dxa"/>
            <w:tcBorders>
              <w:left w:val="single" w:sz="2" w:space="0" w:color="auto"/>
            </w:tcBorders>
            <w:hideMark/>
          </w:tcPr>
          <w:p w14:paraId="2660A327" w14:textId="77777777" w:rsidR="00FE4DEF" w:rsidRDefault="00FE4DEF" w:rsidP="00FC19C2">
            <w:pPr>
              <w:pStyle w:val="NormalWeb"/>
              <w:jc w:val="center"/>
            </w:pPr>
            <w:r>
              <w:t>351.3</w:t>
            </w:r>
          </w:p>
        </w:tc>
      </w:tr>
    </w:tbl>
    <w:p w14:paraId="4930E050" w14:textId="77777777" w:rsidR="0035098B" w:rsidRDefault="00FE4DEF" w:rsidP="0008158F">
      <w:pPr>
        <w:pStyle w:val="CDIfootnotes"/>
        <w:sectPr w:rsidR="0035098B" w:rsidSect="00A30C37">
          <w:footnotePr>
            <w:numFmt w:val="lowerRoman"/>
          </w:footnotePr>
          <w:pgSz w:w="11906" w:h="16838"/>
          <w:pgMar w:top="720" w:right="720" w:bottom="1134" w:left="720" w:header="709" w:footer="284" w:gutter="0"/>
          <w:cols w:space="708"/>
          <w:titlePg/>
          <w:docGrid w:linePitch="360"/>
        </w:sectPr>
      </w:pPr>
      <w:proofErr w:type="gramStart"/>
      <w:r>
        <w:t>a</w:t>
      </w:r>
      <w:proofErr w:type="gramEnd"/>
      <w:r>
        <w:tab/>
        <w:t>Cases and rates for persons include 5 cases with unknown gender.</w:t>
      </w:r>
    </w:p>
    <w:p w14:paraId="731A26F0" w14:textId="77777777" w:rsidR="00D41406" w:rsidRDefault="00D41406" w:rsidP="00D41406">
      <w:pPr>
        <w:pStyle w:val="CDIFigures"/>
        <w:rPr>
          <w:rFonts w:eastAsia="Times New Roman"/>
        </w:rPr>
      </w:pPr>
      <w:r>
        <w:rPr>
          <w:rFonts w:eastAsia="Times New Roman"/>
        </w:rPr>
        <w:lastRenderedPageBreak/>
        <w:t xml:space="preserve">Figure B.1. Variation in combinations of COVID-19 symptoms in confirmed cases as at 30 August 2020, </w:t>
      </w:r>
      <w:proofErr w:type="spellStart"/>
      <w:r>
        <w:rPr>
          <w:rFonts w:eastAsia="Times New Roman"/>
        </w:rPr>
        <w:t>Australia</w:t>
      </w:r>
      <w:r>
        <w:rPr>
          <w:rFonts w:eastAsia="Times New Roman"/>
          <w:vertAlign w:val="superscript"/>
        </w:rPr>
        <w:t>a</w:t>
      </w:r>
      <w:proofErr w:type="spellEnd"/>
    </w:p>
    <w:p w14:paraId="4D54C923" w14:textId="77777777" w:rsidR="00FE4DEF" w:rsidRDefault="00FE4DEF">
      <w:pPr>
        <w:pStyle w:val="NormalWeb"/>
      </w:pPr>
      <w:r>
        <w:rPr>
          <w:noProof/>
        </w:rPr>
        <w:drawing>
          <wp:inline distT="0" distB="0" distL="0" distR="0" wp14:anchorId="234DE974" wp14:editId="0AB914F8">
            <wp:extent cx="8125985" cy="5416307"/>
            <wp:effectExtent l="0" t="0" r="8890" b="0"/>
            <wp:docPr id="14" name="Picture 14"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2020\63-COVID-19 report 24\MS-Word output\figures_and_tables-web-resources\image\fb1.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125985" cy="5416307"/>
                    </a:xfrm>
                    <a:prstGeom prst="rect">
                      <a:avLst/>
                    </a:prstGeom>
                  </pic:spPr>
                </pic:pic>
              </a:graphicData>
            </a:graphic>
          </wp:inline>
        </w:drawing>
      </w:r>
    </w:p>
    <w:p w14:paraId="48B5189C" w14:textId="77777777" w:rsidR="00FE4DEF" w:rsidRDefault="00FE4DEF" w:rsidP="0008158F">
      <w:pPr>
        <w:pStyle w:val="CDIfootnotes"/>
      </w:pPr>
      <w:proofErr w:type="spellStart"/>
      <w:proofErr w:type="gramStart"/>
      <w:r>
        <w:t>a</w:t>
      </w:r>
      <w:proofErr w:type="spellEnd"/>
      <w:proofErr w:type="gramEnd"/>
      <w:r>
        <w:tab/>
        <w:t xml:space="preserve"> 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667DEACB" w14:textId="77777777" w:rsidR="0035098B" w:rsidRDefault="0035098B" w:rsidP="0008158F">
      <w:pPr>
        <w:pStyle w:val="CDIFigures"/>
        <w:sectPr w:rsidR="0035098B" w:rsidSect="0035098B">
          <w:footnotePr>
            <w:numFmt w:val="lowerRoman"/>
          </w:footnotePr>
          <w:pgSz w:w="16838" w:h="11906" w:orient="landscape"/>
          <w:pgMar w:top="720" w:right="720" w:bottom="720" w:left="1134" w:header="709" w:footer="284" w:gutter="0"/>
          <w:cols w:space="708"/>
          <w:titlePg/>
          <w:docGrid w:linePitch="360"/>
        </w:sectPr>
      </w:pPr>
    </w:p>
    <w:p w14:paraId="07A54A96" w14:textId="77777777" w:rsidR="00FE4DEF" w:rsidRDefault="00FE4DEF" w:rsidP="0008158F">
      <w:pPr>
        <w:pStyle w:val="CDIFigures"/>
      </w:pPr>
      <w:r>
        <w:lastRenderedPageBreak/>
        <w:t>Figure B.2. Heat map showing COVID-19 locally-acquired case notifications by place of residence, Australia, 17–30 August 2020</w:t>
      </w:r>
    </w:p>
    <w:p w14:paraId="6B2B11FD" w14:textId="77777777" w:rsidR="00FE4DEF" w:rsidRDefault="00FE4DEF" w:rsidP="00D41406">
      <w:pPr>
        <w:pStyle w:val="NormalWeb"/>
        <w:jc w:val="center"/>
      </w:pPr>
      <w:r>
        <w:rPr>
          <w:noProof/>
        </w:rPr>
        <w:drawing>
          <wp:inline distT="0" distB="0" distL="0" distR="0" wp14:anchorId="057A165C" wp14:editId="79662730">
            <wp:extent cx="6093372" cy="4307743"/>
            <wp:effectExtent l="0" t="0" r="3175" b="0"/>
            <wp:docPr id="15" name="Picture 15" descr="This figure shows heat maps for locally-acquired case notifications between 17 and 30 August 2020, for the Greater Melbourne region, the state of Victoria, and the Greater Sydney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taging\CDESS\ZoFE\CDI\Desktopping\OpenCDI\2020\63-COVID-19 report 24\MS-Word output\figures_and_tables-web-resources\image\fb2-A.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098024" cy="4311031"/>
                    </a:xfrm>
                    <a:prstGeom prst="rect">
                      <a:avLst/>
                    </a:prstGeom>
                  </pic:spPr>
                </pic:pic>
              </a:graphicData>
            </a:graphic>
          </wp:inline>
        </w:drawing>
      </w:r>
    </w:p>
    <w:p w14:paraId="6E5E0B45" w14:textId="77777777" w:rsidR="00FE4DEF" w:rsidRDefault="00FE4DEF" w:rsidP="00D41406">
      <w:pPr>
        <w:pStyle w:val="NormalWeb"/>
        <w:jc w:val="center"/>
      </w:pPr>
      <w:r>
        <w:rPr>
          <w:noProof/>
        </w:rPr>
        <w:drawing>
          <wp:inline distT="0" distB="0" distL="0" distR="0" wp14:anchorId="3C918CBE" wp14:editId="5EFA4603">
            <wp:extent cx="5967248" cy="4218577"/>
            <wp:effectExtent l="0" t="0" r="0" b="0"/>
            <wp:docPr id="16" name="Picture 16" descr="same as previou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taging\CDESS\ZoFE\CDI\Desktopping\OpenCDI\2020\63-COVID-19 report 24\MS-Word output\figures_and_tables-web-resources\image\fb2-B.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79199" cy="4227026"/>
                    </a:xfrm>
                    <a:prstGeom prst="rect">
                      <a:avLst/>
                    </a:prstGeom>
                  </pic:spPr>
                </pic:pic>
              </a:graphicData>
            </a:graphic>
          </wp:inline>
        </w:drawing>
      </w:r>
    </w:p>
    <w:p w14:paraId="28E359B8" w14:textId="77777777" w:rsidR="00FE4DEF" w:rsidRDefault="00FE4DEF">
      <w:pPr>
        <w:pStyle w:val="NormalWeb"/>
      </w:pPr>
      <w:r>
        <w:rPr>
          <w:noProof/>
        </w:rPr>
        <w:lastRenderedPageBreak/>
        <w:drawing>
          <wp:inline distT="0" distB="0" distL="0" distR="0" wp14:anchorId="11C068CE" wp14:editId="425CB862">
            <wp:extent cx="6629400" cy="4686692"/>
            <wp:effectExtent l="0" t="0" r="0" b="0"/>
            <wp:docPr id="17" name="Picture 17" descr="same as previo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aging\CDESS\ZoFE\CDI\Desktopping\OpenCDI\2020\63-COVID-19 report 24\MS-Word output\figures_and_tables-web-resources\image\fb2-C.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33928" cy="4689893"/>
                    </a:xfrm>
                    <a:prstGeom prst="rect">
                      <a:avLst/>
                    </a:prstGeom>
                  </pic:spPr>
                </pic:pic>
              </a:graphicData>
            </a:graphic>
          </wp:inline>
        </w:drawing>
      </w:r>
    </w:p>
    <w:p w14:paraId="34F5A0DD" w14:textId="77777777" w:rsidR="00D41406" w:rsidRDefault="00D41406">
      <w:pPr>
        <w:rPr>
          <w:rFonts w:asciiTheme="majorHAnsi" w:eastAsiaTheme="majorEastAsia" w:hAnsiTheme="majorHAnsi" w:cstheme="majorBidi"/>
          <w:b/>
          <w:bCs/>
          <w:sz w:val="32"/>
          <w:szCs w:val="28"/>
        </w:rPr>
      </w:pPr>
      <w:r>
        <w:br w:type="page"/>
      </w:r>
    </w:p>
    <w:p w14:paraId="4E2920E4" w14:textId="77777777" w:rsidR="00FE4DEF" w:rsidRPr="0008158F" w:rsidRDefault="00FE4DEF" w:rsidP="0008158F">
      <w:pPr>
        <w:pStyle w:val="Heading1"/>
      </w:pPr>
      <w:r w:rsidRPr="0008158F">
        <w:lastRenderedPageBreak/>
        <w:t xml:space="preserve">Appendix C: Frequently asked questions </w:t>
      </w:r>
    </w:p>
    <w:p w14:paraId="1ADFA62B" w14:textId="77777777" w:rsidR="00FE4DEF" w:rsidRDefault="00FE4DEF" w:rsidP="0008158F">
      <w:r>
        <w:rPr>
          <w:rStyle w:val="Strong"/>
        </w:rPr>
        <w:t xml:space="preserve">Q: Can I request access to the COVID-19 data behind your CDI fortnightly reports? </w:t>
      </w:r>
    </w:p>
    <w:p w14:paraId="10F68336" w14:textId="77777777" w:rsidR="00FE4DEF" w:rsidRDefault="00FE4DEF" w:rsidP="0008158F">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5C145BF3" w14:textId="77777777" w:rsidR="00FE4DEF" w:rsidRDefault="00FE4DEF" w:rsidP="0008158F">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14184F00" w14:textId="77777777" w:rsidR="00FE4DEF" w:rsidRDefault="00FE4DEF" w:rsidP="0008158F">
      <w:r>
        <w:t xml:space="preserve">Due to the COVID-19 response, unfortunately, specific requests for NNDSS data have been put on hold. We are currently looking into options to be able to respond to data requests in the near future. </w:t>
      </w:r>
    </w:p>
    <w:p w14:paraId="039B5EB0" w14:textId="77777777" w:rsidR="00FE4DEF" w:rsidRDefault="00FE4DEF" w:rsidP="0008158F">
      <w:r>
        <w:t xml:space="preserve">We will continue to publish regular summaries and analyses of the NNDSS dataset and recommend the following resources be referred to in the meantime: </w:t>
      </w:r>
    </w:p>
    <w:p w14:paraId="7A8C3570" w14:textId="77777777" w:rsidR="00FE4DEF" w:rsidRPr="0008158F" w:rsidRDefault="00FE4DEF" w:rsidP="0008158F">
      <w:pPr>
        <w:pStyle w:val="ListParagraph"/>
        <w:numPr>
          <w:ilvl w:val="0"/>
          <w:numId w:val="14"/>
        </w:numPr>
        <w:rPr>
          <w:rFonts w:eastAsia="Times New Roman"/>
        </w:rPr>
      </w:pPr>
      <w:r w:rsidRPr="0008158F">
        <w:rPr>
          <w:rFonts w:eastAsia="Times New Roman"/>
        </w:rPr>
        <w:t xml:space="preserve">NNDSS summary tables: http://www9.health.gov.au/cda/source/cda-index.cfm </w:t>
      </w:r>
    </w:p>
    <w:p w14:paraId="6FEB1008" w14:textId="77777777" w:rsidR="00FE4DEF" w:rsidRPr="0008158F" w:rsidRDefault="00FE4DEF" w:rsidP="0008158F">
      <w:pPr>
        <w:pStyle w:val="ListParagraph"/>
        <w:numPr>
          <w:ilvl w:val="0"/>
          <w:numId w:val="14"/>
        </w:numPr>
        <w:rPr>
          <w:rFonts w:eastAsia="Times New Roman"/>
        </w:rPr>
      </w:pPr>
      <w:r w:rsidRPr="0008158F">
        <w:rPr>
          <w:rFonts w:eastAsia="Times New Roman"/>
        </w:rPr>
        <w:t xml:space="preserve">Daily case summary of cases: https://www.health.gov.au/news/health-alerts/novel-coronavirus-2019-ncov-health-alert/coronavirus-covid-19-current-situation-and-case-numbers </w:t>
      </w:r>
    </w:p>
    <w:p w14:paraId="27D2F6F9" w14:textId="77777777" w:rsidR="00FE4DEF" w:rsidRPr="0008158F" w:rsidRDefault="00FE4DEF" w:rsidP="0008158F">
      <w:pPr>
        <w:pStyle w:val="ListParagraph"/>
        <w:numPr>
          <w:ilvl w:val="0"/>
          <w:numId w:val="14"/>
        </w:numPr>
        <w:rPr>
          <w:rFonts w:eastAsia="Times New Roman"/>
        </w:rPr>
      </w:pPr>
      <w:r w:rsidRPr="0008158F">
        <w:rPr>
          <w:rStyle w:val="Emphasis"/>
          <w:rFonts w:eastAsia="Times New Roman"/>
          <w:b w:val="0"/>
        </w:rPr>
        <w:t>Communicable Diseases Intelligence</w:t>
      </w:r>
      <w:r w:rsidRPr="0008158F">
        <w:rPr>
          <w:rFonts w:eastAsia="Times New Roman"/>
        </w:rPr>
        <w:t xml:space="preserve"> COVID-19 epidemiology report: https://www1.health.gov.au/internet/main/publishing.nsf/Content/novel_coronavirus_2019_ncov_weekly_epidemiology_reports_australia_2020.htm </w:t>
      </w:r>
    </w:p>
    <w:p w14:paraId="63596FDE" w14:textId="77777777" w:rsidR="00FE4DEF" w:rsidRPr="0008158F" w:rsidRDefault="00FE4DEF" w:rsidP="0008158F">
      <w:pPr>
        <w:pStyle w:val="ListParagraph"/>
        <w:numPr>
          <w:ilvl w:val="0"/>
          <w:numId w:val="14"/>
        </w:numPr>
        <w:rPr>
          <w:rFonts w:eastAsia="Times New Roman"/>
        </w:rPr>
      </w:pPr>
      <w:r w:rsidRPr="0008158F">
        <w:rPr>
          <w:rFonts w:eastAsia="Times New Roman"/>
        </w:rPr>
        <w:t xml:space="preserve">State and territory public health websites. </w:t>
      </w:r>
    </w:p>
    <w:p w14:paraId="79258770" w14:textId="77777777" w:rsidR="00FE4DEF" w:rsidRDefault="00FE4DEF" w:rsidP="0008158F">
      <w:r>
        <w:rPr>
          <w:rStyle w:val="Strong"/>
        </w:rPr>
        <w:t xml:space="preserve">Q: Why have the reports changed from weekly to fortnightly? </w:t>
      </w:r>
    </w:p>
    <w:p w14:paraId="2FC9D431" w14:textId="77777777" w:rsidR="00FE4DEF" w:rsidRDefault="00FE4DEF" w:rsidP="0008158F">
      <w:r>
        <w:t xml:space="preserve">A: The change to fortnightly reporting is to allow more time for an in-depth analysis of the NNDSS data, therefore enhancing the contents of the report. </w:t>
      </w:r>
    </w:p>
    <w:p w14:paraId="6CDE230E" w14:textId="77777777" w:rsidR="00FE4DEF" w:rsidRDefault="00FE4DEF" w:rsidP="0008158F">
      <w:r>
        <w:rPr>
          <w:rStyle w:val="Strong"/>
        </w:rPr>
        <w:t xml:space="preserve">Q: Can I request access to data at post-code level of confirmed cases? </w:t>
      </w:r>
    </w:p>
    <w:p w14:paraId="20F3C653" w14:textId="77777777" w:rsidR="00FE4DEF" w:rsidRDefault="00FE4DEF" w:rsidP="0008158F">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430C29E8" w14:textId="77777777" w:rsidR="00FE4DEF" w:rsidRDefault="00FE4DEF" w:rsidP="0008158F">
      <w:r>
        <w:t xml:space="preserve">Where current or recent reported case numbers are high enough to justify it, a GIS/mapping analysis of cases will be included in the </w:t>
      </w:r>
      <w:r w:rsidRPr="001513CF">
        <w:rPr>
          <w:rStyle w:val="Emphasis"/>
          <w:b w:val="0"/>
        </w:rPr>
        <w:t>Communicable Diseases Intelligence</w:t>
      </w:r>
      <w:r>
        <w:t xml:space="preserve"> COVID-19 epidemiology report. In order to protect privacy of confirmed cases, data in this map will be presented at SA3 level. </w:t>
      </w:r>
    </w:p>
    <w:p w14:paraId="44B07542" w14:textId="77777777" w:rsidR="00FE4DEF" w:rsidRDefault="00FE4DEF" w:rsidP="0008158F">
      <w:r>
        <w:rPr>
          <w:rStyle w:val="Strong"/>
        </w:rPr>
        <w:t xml:space="preserve">Q: Where can I find more detailed data on COVID-19 cases? </w:t>
      </w:r>
    </w:p>
    <w:p w14:paraId="408F45DC" w14:textId="77777777" w:rsidR="008B5348" w:rsidRPr="0008158F" w:rsidRDefault="00FE4DEF" w:rsidP="0008158F">
      <w:pPr>
        <w:rPr>
          <w:rStyle w:val="A10"/>
          <w:rFonts w:cstheme="minorBidi"/>
          <w:color w:val="auto"/>
        </w:r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1513CF">
        <w:rPr>
          <w:rStyle w:val="Emphasis"/>
          <w:b w:val="0"/>
        </w:rPr>
        <w:t>Communicable Diseases Intelligence</w:t>
      </w:r>
      <w:r>
        <w:t xml:space="preserve"> report.</w:t>
      </w:r>
    </w:p>
    <w:p w14:paraId="5377DD71" w14:textId="77777777" w:rsidR="008B5348" w:rsidRDefault="008B5348">
      <w:pPr>
        <w:rPr>
          <w:rStyle w:val="A10"/>
        </w:rPr>
      </w:pPr>
      <w:r>
        <w:rPr>
          <w:rStyle w:val="A10"/>
        </w:rPr>
        <w:lastRenderedPageBreak/>
        <w:br w:type="page"/>
      </w:r>
    </w:p>
    <w:p w14:paraId="38770DB2"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4A5530B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13BC30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CB529B3" w14:textId="77777777" w:rsidR="000A5F42" w:rsidRPr="000606CC" w:rsidRDefault="000A5F42" w:rsidP="000A5F42">
      <w:pPr>
        <w:pStyle w:val="NoSpacing"/>
        <w:rPr>
          <w:rStyle w:val="URI"/>
          <w:rFonts w:cstheme="minorHAnsi"/>
          <w:sz w:val="20"/>
          <w:szCs w:val="18"/>
        </w:rPr>
      </w:pPr>
    </w:p>
    <w:p w14:paraId="3D0D892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B545252" w14:textId="77777777" w:rsidR="000A5F42" w:rsidRPr="000606CC" w:rsidRDefault="000A5F42" w:rsidP="000A5F42">
      <w:pPr>
        <w:pStyle w:val="NoSpacing"/>
        <w:rPr>
          <w:rStyle w:val="Strong"/>
          <w:rFonts w:cstheme="minorHAnsi"/>
          <w:sz w:val="20"/>
          <w:szCs w:val="18"/>
        </w:rPr>
      </w:pPr>
    </w:p>
    <w:p w14:paraId="7CE6FED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44CC2D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7F7202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E98B66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3999503" w14:textId="77777777" w:rsidR="000A5F42" w:rsidRPr="000606CC" w:rsidRDefault="000A5F42" w:rsidP="000A5F42">
      <w:pPr>
        <w:pStyle w:val="NoSpacing"/>
        <w:rPr>
          <w:rStyle w:val="Strong"/>
          <w:rFonts w:cstheme="minorHAnsi"/>
          <w:sz w:val="20"/>
          <w:szCs w:val="18"/>
        </w:rPr>
      </w:pPr>
    </w:p>
    <w:p w14:paraId="05F64B8A" w14:textId="071D9BC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4BCB07E" w14:textId="77777777" w:rsidR="000A5F42" w:rsidRPr="000606CC" w:rsidRDefault="000A5F42" w:rsidP="000A5F42">
      <w:pPr>
        <w:pStyle w:val="NoSpacing"/>
        <w:rPr>
          <w:rStyle w:val="Strong"/>
          <w:rFonts w:cstheme="minorHAnsi"/>
          <w:sz w:val="20"/>
          <w:szCs w:val="18"/>
        </w:rPr>
      </w:pPr>
    </w:p>
    <w:p w14:paraId="65CBB6E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5335842E" w14:textId="77777777" w:rsidR="000A5F42" w:rsidRPr="000606CC" w:rsidRDefault="000A5F42" w:rsidP="000A5F42">
      <w:pPr>
        <w:pStyle w:val="NoSpacing"/>
        <w:rPr>
          <w:rStyle w:val="Strong"/>
          <w:rFonts w:cstheme="minorHAnsi"/>
          <w:sz w:val="20"/>
          <w:szCs w:val="18"/>
        </w:rPr>
      </w:pPr>
    </w:p>
    <w:p w14:paraId="471CA9A2" w14:textId="7B108B7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1A48C49" w14:textId="77777777" w:rsidR="000A5F42" w:rsidRPr="000606CC" w:rsidRDefault="000A5F42" w:rsidP="000A5F42">
      <w:pPr>
        <w:pStyle w:val="NoSpacing"/>
        <w:rPr>
          <w:rStyle w:val="Strong"/>
          <w:rFonts w:cstheme="minorHAnsi"/>
          <w:sz w:val="20"/>
          <w:szCs w:val="18"/>
        </w:rPr>
      </w:pPr>
    </w:p>
    <w:p w14:paraId="10A69D98" w14:textId="70C31FAD"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3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2F89839" w14:textId="4091A9F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2" w:history="1">
        <w:r w:rsidRPr="000606CC">
          <w:rPr>
            <w:rStyle w:val="Hyperlink"/>
            <w:rFonts w:cstheme="minorHAnsi"/>
            <w:sz w:val="20"/>
            <w:szCs w:val="18"/>
          </w:rPr>
          <w:t>cdi.editor@health.gov.au</w:t>
        </w:r>
      </w:hyperlink>
      <w:r w:rsidRPr="000606CC">
        <w:rPr>
          <w:rFonts w:cstheme="minorHAnsi"/>
          <w:sz w:val="20"/>
          <w:szCs w:val="18"/>
        </w:rPr>
        <w:t>.</w:t>
      </w:r>
    </w:p>
    <w:p w14:paraId="75F4B1E6" w14:textId="77777777" w:rsidR="000A5F42" w:rsidRPr="000606CC" w:rsidRDefault="000A5F42" w:rsidP="000A5F42">
      <w:pPr>
        <w:pStyle w:val="NoSpacing"/>
        <w:pBdr>
          <w:bottom w:val="single" w:sz="6" w:space="1" w:color="auto"/>
        </w:pBdr>
        <w:rPr>
          <w:rStyle w:val="Strong"/>
          <w:rFonts w:cstheme="minorHAnsi"/>
          <w:sz w:val="12"/>
          <w:szCs w:val="18"/>
        </w:rPr>
      </w:pPr>
    </w:p>
    <w:p w14:paraId="4759B3AC" w14:textId="77777777" w:rsidR="000A5F42" w:rsidRPr="000606CC" w:rsidRDefault="000A5F42" w:rsidP="000A5F42">
      <w:pPr>
        <w:pStyle w:val="NoSpacing"/>
        <w:rPr>
          <w:rFonts w:cstheme="minorHAnsi"/>
          <w:sz w:val="20"/>
          <w:szCs w:val="18"/>
        </w:rPr>
      </w:pPr>
    </w:p>
    <w:p w14:paraId="574EB5B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19DD3FF" w14:textId="77777777" w:rsidR="000A5F42" w:rsidRPr="000606CC" w:rsidRDefault="000A5F42" w:rsidP="000A5F42">
      <w:pPr>
        <w:pStyle w:val="NoSpacing"/>
        <w:rPr>
          <w:rFonts w:cstheme="minorHAnsi"/>
          <w:sz w:val="20"/>
          <w:szCs w:val="18"/>
        </w:rPr>
      </w:pPr>
    </w:p>
    <w:p w14:paraId="1EDA9F0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4147F2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15EE0CE" w14:textId="55CF5E0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FE33B12" w14:textId="77777777" w:rsidR="000A5F42" w:rsidRPr="000606CC" w:rsidRDefault="000A5F42" w:rsidP="000A5F42">
      <w:pPr>
        <w:pStyle w:val="NoSpacing"/>
        <w:rPr>
          <w:rFonts w:cstheme="minorHAnsi"/>
          <w:sz w:val="20"/>
          <w:szCs w:val="18"/>
        </w:rPr>
      </w:pPr>
    </w:p>
    <w:p w14:paraId="1B5DDB2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AAD8184" w14:textId="5CDA60A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D4EAC0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E2B35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AABAF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76BD1E0"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4E5F3C44" w14:textId="77777777" w:rsidR="000A5F42" w:rsidRPr="000606CC" w:rsidRDefault="000A5F42" w:rsidP="000A5F42">
      <w:pPr>
        <w:pStyle w:val="NoSpacing"/>
        <w:rPr>
          <w:rStyle w:val="Strong"/>
          <w:rFonts w:cstheme="minorHAnsi"/>
          <w:sz w:val="20"/>
          <w:szCs w:val="18"/>
        </w:rPr>
      </w:pPr>
    </w:p>
    <w:p w14:paraId="3697D7E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A4221D6" w14:textId="77777777" w:rsidR="000A5F42" w:rsidRPr="000606CC" w:rsidRDefault="000A5F42" w:rsidP="000A5F42">
      <w:pPr>
        <w:pStyle w:val="NoSpacing"/>
        <w:rPr>
          <w:rStyle w:val="Strong"/>
          <w:rFonts w:cstheme="minorHAnsi"/>
          <w:sz w:val="20"/>
          <w:szCs w:val="18"/>
        </w:rPr>
      </w:pPr>
    </w:p>
    <w:p w14:paraId="5619110B" w14:textId="7F22844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AAFA80B" w14:textId="77777777" w:rsidR="000A5F42" w:rsidRPr="000606CC" w:rsidRDefault="000A5F42" w:rsidP="000A5F42">
      <w:pPr>
        <w:pStyle w:val="NoSpacing"/>
        <w:rPr>
          <w:rStyle w:val="URI"/>
          <w:rFonts w:cstheme="minorHAnsi"/>
          <w:sz w:val="20"/>
          <w:szCs w:val="18"/>
        </w:rPr>
      </w:pPr>
    </w:p>
    <w:p w14:paraId="5FCE67B0" w14:textId="22AB45B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lastRenderedPageBreak/>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6" w:tooltip="Communicable Diseases Network Australia website" w:history="1">
        <w:r w:rsidRPr="000606CC">
          <w:rPr>
            <w:rStyle w:val="Hyperlink"/>
            <w:rFonts w:cstheme="minorHAnsi"/>
            <w:sz w:val="20"/>
            <w:szCs w:val="18"/>
          </w:rPr>
          <w:t>http://www.health.gov.au/cdna</w:t>
        </w:r>
      </w:hyperlink>
    </w:p>
    <w:p w14:paraId="0C6CC5E6" w14:textId="77777777" w:rsidR="001B37B8" w:rsidRPr="00E92237" w:rsidRDefault="001B37B8" w:rsidP="001B37B8">
      <w:pPr>
        <w:rPr>
          <w:rFonts w:cs="Myriad Pro"/>
          <w:color w:val="211D1E"/>
          <w:sz w:val="20"/>
          <w:szCs w:val="20"/>
        </w:rPr>
      </w:pPr>
    </w:p>
    <w:sectPr w:rsidR="001B37B8" w:rsidRPr="00E92237" w:rsidSect="002B75A9">
      <w:headerReference w:type="default" r:id="rId3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E0C92" w14:textId="77777777" w:rsidR="002822AD" w:rsidRDefault="002822AD" w:rsidP="00E54DBA">
      <w:r>
        <w:separator/>
      </w:r>
    </w:p>
    <w:p w14:paraId="4DC53E97" w14:textId="77777777" w:rsidR="002822AD" w:rsidRDefault="002822AD"/>
    <w:p w14:paraId="22FF02F2" w14:textId="77777777" w:rsidR="002822AD" w:rsidRDefault="002822AD" w:rsidP="008714B0"/>
  </w:endnote>
  <w:endnote w:type="continuationSeparator" w:id="0">
    <w:p w14:paraId="7E9DEB59" w14:textId="77777777" w:rsidR="002822AD" w:rsidRDefault="002822AD" w:rsidP="00E54DBA">
      <w:r>
        <w:continuationSeparator/>
      </w:r>
    </w:p>
    <w:p w14:paraId="0B5AB52A" w14:textId="77777777" w:rsidR="002822AD" w:rsidRDefault="002822AD"/>
    <w:p w14:paraId="31E4BB3D" w14:textId="77777777" w:rsidR="002822AD" w:rsidRDefault="002822A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Bahnschrift Light"/>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7010B" w14:textId="62D3014E" w:rsidR="002822AD" w:rsidRPr="0042435E" w:rsidRDefault="002822A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44416">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44416">
      <w:rPr>
        <w:noProof/>
        <w:sz w:val="18"/>
      </w:rPr>
      <w:t>39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513CF">
      <w:rPr>
        <w:i/>
        <w:sz w:val="18"/>
      </w:rPr>
      <w:t>Commun</w:t>
    </w:r>
    <w:proofErr w:type="spellEnd"/>
    <w:r w:rsidRPr="001513CF">
      <w:rPr>
        <w:i/>
        <w:sz w:val="18"/>
      </w:rPr>
      <w:t xml:space="preserve"> Dis </w:t>
    </w:r>
    <w:proofErr w:type="spellStart"/>
    <w:r w:rsidRPr="001513CF">
      <w:rPr>
        <w:i/>
        <w:sz w:val="18"/>
      </w:rPr>
      <w:t>Intell</w:t>
    </w:r>
    <w:proofErr w:type="spellEnd"/>
    <w:r w:rsidRPr="001513CF">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https://doi.org/10.33321/10.33321/cdi.2020.44.75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F1EF5">
      <w:rPr>
        <w:sz w:val="18"/>
      </w:rPr>
      <w:t>9/9/2020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7856" w14:textId="5D3BB879" w:rsidR="002822AD" w:rsidRPr="00BB5378" w:rsidRDefault="002822A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44416">
      <w:rPr>
        <w:noProof/>
        <w:sz w:val="18"/>
      </w:rPr>
      <w:t>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44416">
      <w:rPr>
        <w:noProof/>
        <w:sz w:val="18"/>
      </w:rPr>
      <w:t>39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513CF">
      <w:rPr>
        <w:i/>
        <w:sz w:val="18"/>
      </w:rPr>
      <w:t>Commun</w:t>
    </w:r>
    <w:proofErr w:type="spellEnd"/>
    <w:r w:rsidRPr="001513CF">
      <w:rPr>
        <w:i/>
        <w:sz w:val="18"/>
      </w:rPr>
      <w:t xml:space="preserve"> Dis </w:t>
    </w:r>
    <w:proofErr w:type="spellStart"/>
    <w:r w:rsidRPr="001513CF">
      <w:rPr>
        <w:i/>
        <w:sz w:val="18"/>
      </w:rPr>
      <w:t>Intell</w:t>
    </w:r>
    <w:proofErr w:type="spellEnd"/>
    <w:r w:rsidRPr="001513CF">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https://doi.org/10.33321/10.33321/cdi.2020.44.75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F1EF5">
      <w:rPr>
        <w:sz w:val="18"/>
      </w:rPr>
      <w:t>9/9/2020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50FEF" w14:textId="77777777" w:rsidR="002822AD" w:rsidRDefault="002822AD" w:rsidP="00E54DBA">
      <w:r>
        <w:separator/>
      </w:r>
    </w:p>
  </w:footnote>
  <w:footnote w:type="continuationSeparator" w:id="0">
    <w:p w14:paraId="211A8ACE" w14:textId="77777777" w:rsidR="002822AD" w:rsidRDefault="002822AD" w:rsidP="00E54DBA">
      <w:r>
        <w:continuationSeparator/>
      </w:r>
    </w:p>
  </w:footnote>
  <w:footnote w:type="continuationNotice" w:id="1">
    <w:p w14:paraId="009B6CD9" w14:textId="77777777" w:rsidR="002822AD" w:rsidRPr="00224EFF" w:rsidRDefault="002822AD" w:rsidP="00224EFF">
      <w:pPr>
        <w:pStyle w:val="Footer"/>
      </w:pPr>
    </w:p>
  </w:footnote>
  <w:footnote w:id="2">
    <w:p w14:paraId="0F0629CC" w14:textId="77777777" w:rsidR="002822AD" w:rsidRDefault="002822AD">
      <w:pPr>
        <w:pStyle w:val="FootnoteText"/>
      </w:pPr>
      <w:r w:rsidRPr="002822AD">
        <w:rPr>
          <w:rStyle w:val="FootnoteReference"/>
          <w:vertAlign w:val="baseline"/>
        </w:rPr>
        <w:footnoteRef/>
      </w:r>
      <w:r w:rsidRPr="002822AD">
        <w:t xml:space="preserve"> </w:t>
      </w:r>
      <w:r>
        <w:tab/>
      </w:r>
      <w:r w:rsidRPr="002822AD">
        <w:t>This report addresses indicators listed in the CDNA National Surveillance Plan 2020.</w:t>
      </w:r>
    </w:p>
  </w:footnote>
  <w:footnote w:id="3">
    <w:p w14:paraId="7A7E2B7B" w14:textId="77777777" w:rsidR="002822AD" w:rsidRDefault="002822AD" w:rsidP="00AA1DDA">
      <w:pPr>
        <w:pStyle w:val="CDIfootnotes"/>
      </w:pPr>
      <w:r w:rsidRPr="00604610">
        <w:rPr>
          <w:rStyle w:val="FootnoteReference"/>
          <w:vertAlign w:val="baseline"/>
        </w:rPr>
        <w:footnoteRef/>
      </w:r>
      <w:r>
        <w:t xml:space="preserve"> </w:t>
      </w:r>
      <w:r w:rsidR="00604610">
        <w:tab/>
      </w:r>
      <w:r>
        <w:t>https://www.gisaid.org/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0120B" w14:textId="77777777" w:rsidR="002822AD" w:rsidRPr="00A153B6" w:rsidRDefault="0094441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822AD">
          <w:t>Fortnightly epidemiological report</w:t>
        </w:r>
      </w:sdtContent>
    </w:sdt>
    <w:r w:rsidR="002822AD">
      <w:ptab w:relativeTo="margin" w:alignment="right" w:leader="none"/>
    </w:r>
    <w:r w:rsidR="002822A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41DCB" w14:textId="77777777" w:rsidR="002822AD" w:rsidRPr="000A5F42" w:rsidRDefault="002822AD" w:rsidP="000A5F42">
    <w:pPr>
      <w:pStyle w:val="Header"/>
      <w:jc w:val="center"/>
      <w:rPr>
        <w:b/>
      </w:rPr>
    </w:pPr>
    <w:r w:rsidRPr="00E810C5">
      <w:rPr>
        <w:rFonts w:cs="Myriad Pro"/>
        <w:noProof/>
        <w:color w:val="211D1E"/>
        <w:sz w:val="16"/>
      </w:rPr>
      <w:drawing>
        <wp:inline distT="0" distB="0" distL="0" distR="0" wp14:anchorId="46DA1861" wp14:editId="37E6097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26BA"/>
    <w:multiLevelType w:val="hybridMultilevel"/>
    <w:tmpl w:val="F5045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6B7612"/>
    <w:multiLevelType w:val="hybridMultilevel"/>
    <w:tmpl w:val="AF06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0F7618"/>
    <w:multiLevelType w:val="multilevel"/>
    <w:tmpl w:val="A750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141EE5"/>
    <w:multiLevelType w:val="hybridMultilevel"/>
    <w:tmpl w:val="D1C85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7F658D"/>
    <w:multiLevelType w:val="hybridMultilevel"/>
    <w:tmpl w:val="18D27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A70C4F"/>
    <w:multiLevelType w:val="multilevel"/>
    <w:tmpl w:val="EF30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F34E62"/>
    <w:multiLevelType w:val="multilevel"/>
    <w:tmpl w:val="95DC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7C3391"/>
    <w:multiLevelType w:val="multilevel"/>
    <w:tmpl w:val="0234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9"/>
  </w:num>
  <w:num w:numId="4">
    <w:abstractNumId w:val="3"/>
  </w:num>
  <w:num w:numId="5">
    <w:abstractNumId w:val="11"/>
  </w:num>
  <w:num w:numId="6">
    <w:abstractNumId w:val="12"/>
  </w:num>
  <w:num w:numId="7">
    <w:abstractNumId w:val="13"/>
  </w:num>
  <w:num w:numId="8">
    <w:abstractNumId w:val="2"/>
  </w:num>
  <w:num w:numId="9">
    <w:abstractNumId w:val="7"/>
  </w:num>
  <w:num w:numId="10">
    <w:abstractNumId w:val="10"/>
  </w:num>
  <w:num w:numId="11">
    <w:abstractNumId w:val="1"/>
  </w:num>
  <w:num w:numId="12">
    <w:abstractNumId w:val="5"/>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isplayBackgroundShape/>
  <w:proofState w:spelling="clean" w:grammar="clean"/>
  <w:attachedTemplate r:id="rId1"/>
  <w:defaultTabStop w:val="720"/>
  <w:noPunctuationKerning/>
  <w:characterSpacingControl w:val="doNotCompress"/>
  <w:hdrShapeDefaults>
    <o:shapedefaults v:ext="edit" spidmax="2048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89D"/>
    <w:rsid w:val="00000B5B"/>
    <w:rsid w:val="00001611"/>
    <w:rsid w:val="000104A8"/>
    <w:rsid w:val="0001246E"/>
    <w:rsid w:val="000124B1"/>
    <w:rsid w:val="00016FE6"/>
    <w:rsid w:val="00022791"/>
    <w:rsid w:val="00031064"/>
    <w:rsid w:val="00031692"/>
    <w:rsid w:val="00032531"/>
    <w:rsid w:val="0004465E"/>
    <w:rsid w:val="000471BF"/>
    <w:rsid w:val="00047B68"/>
    <w:rsid w:val="00052600"/>
    <w:rsid w:val="0005643C"/>
    <w:rsid w:val="0006264A"/>
    <w:rsid w:val="00070F67"/>
    <w:rsid w:val="00073D77"/>
    <w:rsid w:val="0008158F"/>
    <w:rsid w:val="00081655"/>
    <w:rsid w:val="000864E0"/>
    <w:rsid w:val="000969B3"/>
    <w:rsid w:val="000A5F42"/>
    <w:rsid w:val="000D4B4D"/>
    <w:rsid w:val="000F1EF5"/>
    <w:rsid w:val="00113D58"/>
    <w:rsid w:val="001200CB"/>
    <w:rsid w:val="001378A3"/>
    <w:rsid w:val="001513CF"/>
    <w:rsid w:val="00155582"/>
    <w:rsid w:val="00161590"/>
    <w:rsid w:val="00171CC0"/>
    <w:rsid w:val="00175281"/>
    <w:rsid w:val="00175494"/>
    <w:rsid w:val="00175629"/>
    <w:rsid w:val="00180258"/>
    <w:rsid w:val="001830EC"/>
    <w:rsid w:val="00183534"/>
    <w:rsid w:val="0019775D"/>
    <w:rsid w:val="001A4A96"/>
    <w:rsid w:val="001A5D05"/>
    <w:rsid w:val="001A6EFB"/>
    <w:rsid w:val="001A796C"/>
    <w:rsid w:val="001B2614"/>
    <w:rsid w:val="001B37B8"/>
    <w:rsid w:val="001B552F"/>
    <w:rsid w:val="001C0893"/>
    <w:rsid w:val="001C1303"/>
    <w:rsid w:val="001C70B2"/>
    <w:rsid w:val="001D37C7"/>
    <w:rsid w:val="001D6888"/>
    <w:rsid w:val="001F05CC"/>
    <w:rsid w:val="001F493C"/>
    <w:rsid w:val="00213CEE"/>
    <w:rsid w:val="0021616F"/>
    <w:rsid w:val="00224EFF"/>
    <w:rsid w:val="002276DC"/>
    <w:rsid w:val="00227E00"/>
    <w:rsid w:val="002305DF"/>
    <w:rsid w:val="002307CB"/>
    <w:rsid w:val="00231046"/>
    <w:rsid w:val="00234F21"/>
    <w:rsid w:val="00242659"/>
    <w:rsid w:val="002428F7"/>
    <w:rsid w:val="0024315F"/>
    <w:rsid w:val="00252C9A"/>
    <w:rsid w:val="00256309"/>
    <w:rsid w:val="00257484"/>
    <w:rsid w:val="00260636"/>
    <w:rsid w:val="002640FE"/>
    <w:rsid w:val="00275C78"/>
    <w:rsid w:val="00280594"/>
    <w:rsid w:val="00281EE3"/>
    <w:rsid w:val="002822AD"/>
    <w:rsid w:val="00284E4A"/>
    <w:rsid w:val="0028586C"/>
    <w:rsid w:val="002A3799"/>
    <w:rsid w:val="002A3BCC"/>
    <w:rsid w:val="002A4516"/>
    <w:rsid w:val="002A569F"/>
    <w:rsid w:val="002A7066"/>
    <w:rsid w:val="002B001E"/>
    <w:rsid w:val="002B09B7"/>
    <w:rsid w:val="002B6FBA"/>
    <w:rsid w:val="002B75A9"/>
    <w:rsid w:val="002C21B0"/>
    <w:rsid w:val="002E2FB3"/>
    <w:rsid w:val="002E3039"/>
    <w:rsid w:val="002F0595"/>
    <w:rsid w:val="002F327B"/>
    <w:rsid w:val="00301626"/>
    <w:rsid w:val="003059EC"/>
    <w:rsid w:val="00316CCD"/>
    <w:rsid w:val="00324F7E"/>
    <w:rsid w:val="003323BC"/>
    <w:rsid w:val="00346D42"/>
    <w:rsid w:val="00346E11"/>
    <w:rsid w:val="0035098B"/>
    <w:rsid w:val="003601C0"/>
    <w:rsid w:val="00360638"/>
    <w:rsid w:val="003635F5"/>
    <w:rsid w:val="00372A88"/>
    <w:rsid w:val="00381A0F"/>
    <w:rsid w:val="00392BAE"/>
    <w:rsid w:val="003A03C6"/>
    <w:rsid w:val="003A1B3A"/>
    <w:rsid w:val="003A40F5"/>
    <w:rsid w:val="003B5B8C"/>
    <w:rsid w:val="003C726C"/>
    <w:rsid w:val="003D79B1"/>
    <w:rsid w:val="003E74EE"/>
    <w:rsid w:val="003F0552"/>
    <w:rsid w:val="003F1208"/>
    <w:rsid w:val="003F3BC2"/>
    <w:rsid w:val="003F4A94"/>
    <w:rsid w:val="00401ED1"/>
    <w:rsid w:val="0040224C"/>
    <w:rsid w:val="00413EE1"/>
    <w:rsid w:val="004164BB"/>
    <w:rsid w:val="00420E4D"/>
    <w:rsid w:val="00421ECE"/>
    <w:rsid w:val="00422FEB"/>
    <w:rsid w:val="0042435E"/>
    <w:rsid w:val="004315F5"/>
    <w:rsid w:val="00433456"/>
    <w:rsid w:val="00433DFA"/>
    <w:rsid w:val="00435D67"/>
    <w:rsid w:val="0044776A"/>
    <w:rsid w:val="00464A58"/>
    <w:rsid w:val="004678DA"/>
    <w:rsid w:val="00473D2D"/>
    <w:rsid w:val="00491B1A"/>
    <w:rsid w:val="004A2125"/>
    <w:rsid w:val="004A38F6"/>
    <w:rsid w:val="004B1A28"/>
    <w:rsid w:val="004B4EB6"/>
    <w:rsid w:val="004C083C"/>
    <w:rsid w:val="004C67C6"/>
    <w:rsid w:val="004D29DE"/>
    <w:rsid w:val="00510972"/>
    <w:rsid w:val="00510EAC"/>
    <w:rsid w:val="0053079E"/>
    <w:rsid w:val="00531DBD"/>
    <w:rsid w:val="00542A57"/>
    <w:rsid w:val="005545C9"/>
    <w:rsid w:val="00560482"/>
    <w:rsid w:val="00565974"/>
    <w:rsid w:val="00566F2D"/>
    <w:rsid w:val="00570590"/>
    <w:rsid w:val="005732C0"/>
    <w:rsid w:val="0057336D"/>
    <w:rsid w:val="0057489A"/>
    <w:rsid w:val="00574ACF"/>
    <w:rsid w:val="00581588"/>
    <w:rsid w:val="0058240F"/>
    <w:rsid w:val="0058540B"/>
    <w:rsid w:val="00587C87"/>
    <w:rsid w:val="00590B80"/>
    <w:rsid w:val="005A323B"/>
    <w:rsid w:val="005A7A10"/>
    <w:rsid w:val="005B3134"/>
    <w:rsid w:val="005B4E61"/>
    <w:rsid w:val="005B595A"/>
    <w:rsid w:val="005B66C2"/>
    <w:rsid w:val="005D2465"/>
    <w:rsid w:val="005E33DD"/>
    <w:rsid w:val="005E4229"/>
    <w:rsid w:val="005E540E"/>
    <w:rsid w:val="005E55FB"/>
    <w:rsid w:val="005F16BB"/>
    <w:rsid w:val="00604610"/>
    <w:rsid w:val="00607115"/>
    <w:rsid w:val="00620768"/>
    <w:rsid w:val="0062594B"/>
    <w:rsid w:val="00631406"/>
    <w:rsid w:val="006324FF"/>
    <w:rsid w:val="006351D6"/>
    <w:rsid w:val="00636E0D"/>
    <w:rsid w:val="0064000F"/>
    <w:rsid w:val="0064142F"/>
    <w:rsid w:val="00643CB4"/>
    <w:rsid w:val="00656427"/>
    <w:rsid w:val="00657AFA"/>
    <w:rsid w:val="00660255"/>
    <w:rsid w:val="00660932"/>
    <w:rsid w:val="006647B0"/>
    <w:rsid w:val="00683A1A"/>
    <w:rsid w:val="006971F3"/>
    <w:rsid w:val="006A60B4"/>
    <w:rsid w:val="006C74A3"/>
    <w:rsid w:val="006D1381"/>
    <w:rsid w:val="006D31BC"/>
    <w:rsid w:val="006E01A4"/>
    <w:rsid w:val="006E7943"/>
    <w:rsid w:val="006F24EA"/>
    <w:rsid w:val="00704CA9"/>
    <w:rsid w:val="0071048D"/>
    <w:rsid w:val="00710F86"/>
    <w:rsid w:val="007111A8"/>
    <w:rsid w:val="007300A0"/>
    <w:rsid w:val="00731BC3"/>
    <w:rsid w:val="007363FB"/>
    <w:rsid w:val="00741192"/>
    <w:rsid w:val="00743A33"/>
    <w:rsid w:val="00746080"/>
    <w:rsid w:val="007509EA"/>
    <w:rsid w:val="0075144A"/>
    <w:rsid w:val="00786329"/>
    <w:rsid w:val="00792C7D"/>
    <w:rsid w:val="00794A4D"/>
    <w:rsid w:val="007A1E75"/>
    <w:rsid w:val="007A5234"/>
    <w:rsid w:val="007B7854"/>
    <w:rsid w:val="007C56A1"/>
    <w:rsid w:val="007C6454"/>
    <w:rsid w:val="007E01E0"/>
    <w:rsid w:val="007F0B93"/>
    <w:rsid w:val="007F0BF9"/>
    <w:rsid w:val="007F2ECA"/>
    <w:rsid w:val="008112D4"/>
    <w:rsid w:val="00811708"/>
    <w:rsid w:val="00816B90"/>
    <w:rsid w:val="00817799"/>
    <w:rsid w:val="00822F5F"/>
    <w:rsid w:val="00824FD3"/>
    <w:rsid w:val="00826589"/>
    <w:rsid w:val="00834BCC"/>
    <w:rsid w:val="00841182"/>
    <w:rsid w:val="00850D54"/>
    <w:rsid w:val="00865807"/>
    <w:rsid w:val="008714B0"/>
    <w:rsid w:val="00876331"/>
    <w:rsid w:val="00880726"/>
    <w:rsid w:val="00890E61"/>
    <w:rsid w:val="008A3544"/>
    <w:rsid w:val="008B0EA0"/>
    <w:rsid w:val="008B48B8"/>
    <w:rsid w:val="008B5348"/>
    <w:rsid w:val="008B5510"/>
    <w:rsid w:val="008B58F8"/>
    <w:rsid w:val="008C0712"/>
    <w:rsid w:val="008C21D9"/>
    <w:rsid w:val="008C4520"/>
    <w:rsid w:val="008C5F09"/>
    <w:rsid w:val="008D470F"/>
    <w:rsid w:val="008E1F8F"/>
    <w:rsid w:val="008E4768"/>
    <w:rsid w:val="008E761E"/>
    <w:rsid w:val="008F275D"/>
    <w:rsid w:val="008F77B3"/>
    <w:rsid w:val="009008F5"/>
    <w:rsid w:val="00903835"/>
    <w:rsid w:val="00904CC1"/>
    <w:rsid w:val="009066AF"/>
    <w:rsid w:val="00912050"/>
    <w:rsid w:val="00912E48"/>
    <w:rsid w:val="00916A0D"/>
    <w:rsid w:val="0092746F"/>
    <w:rsid w:val="00935DC9"/>
    <w:rsid w:val="00944416"/>
    <w:rsid w:val="009446C0"/>
    <w:rsid w:val="0096082E"/>
    <w:rsid w:val="00961347"/>
    <w:rsid w:val="00967410"/>
    <w:rsid w:val="00967D73"/>
    <w:rsid w:val="0098119A"/>
    <w:rsid w:val="009829E9"/>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4020"/>
    <w:rsid w:val="00A36C65"/>
    <w:rsid w:val="00A41BBE"/>
    <w:rsid w:val="00A45BDD"/>
    <w:rsid w:val="00A46A0A"/>
    <w:rsid w:val="00A553F8"/>
    <w:rsid w:val="00A6708F"/>
    <w:rsid w:val="00A71BF6"/>
    <w:rsid w:val="00A82564"/>
    <w:rsid w:val="00A86F9A"/>
    <w:rsid w:val="00AA1DDA"/>
    <w:rsid w:val="00AA35E6"/>
    <w:rsid w:val="00AA50B6"/>
    <w:rsid w:val="00AB3472"/>
    <w:rsid w:val="00AD0762"/>
    <w:rsid w:val="00AE4452"/>
    <w:rsid w:val="00AE7C38"/>
    <w:rsid w:val="00B01F99"/>
    <w:rsid w:val="00B02B37"/>
    <w:rsid w:val="00B05276"/>
    <w:rsid w:val="00B132DB"/>
    <w:rsid w:val="00B21656"/>
    <w:rsid w:val="00B31427"/>
    <w:rsid w:val="00B33861"/>
    <w:rsid w:val="00B40DE2"/>
    <w:rsid w:val="00B50210"/>
    <w:rsid w:val="00B53955"/>
    <w:rsid w:val="00B62AAD"/>
    <w:rsid w:val="00B6408A"/>
    <w:rsid w:val="00B714B8"/>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834"/>
    <w:rsid w:val="00C42AE3"/>
    <w:rsid w:val="00C42FFA"/>
    <w:rsid w:val="00C44483"/>
    <w:rsid w:val="00C507D8"/>
    <w:rsid w:val="00C62EAC"/>
    <w:rsid w:val="00C63F9F"/>
    <w:rsid w:val="00C7723C"/>
    <w:rsid w:val="00C838F5"/>
    <w:rsid w:val="00C857FA"/>
    <w:rsid w:val="00C91EB6"/>
    <w:rsid w:val="00CA1AF4"/>
    <w:rsid w:val="00CA6068"/>
    <w:rsid w:val="00CB0461"/>
    <w:rsid w:val="00CB15E1"/>
    <w:rsid w:val="00CB3D46"/>
    <w:rsid w:val="00CD1A87"/>
    <w:rsid w:val="00CD35F3"/>
    <w:rsid w:val="00CD5C93"/>
    <w:rsid w:val="00CD6088"/>
    <w:rsid w:val="00CD7380"/>
    <w:rsid w:val="00CE342B"/>
    <w:rsid w:val="00CF320C"/>
    <w:rsid w:val="00CF3A4B"/>
    <w:rsid w:val="00CF4001"/>
    <w:rsid w:val="00CF5F38"/>
    <w:rsid w:val="00D05837"/>
    <w:rsid w:val="00D12D8A"/>
    <w:rsid w:val="00D13E0C"/>
    <w:rsid w:val="00D25896"/>
    <w:rsid w:val="00D27893"/>
    <w:rsid w:val="00D3304E"/>
    <w:rsid w:val="00D373A1"/>
    <w:rsid w:val="00D37C0F"/>
    <w:rsid w:val="00D41406"/>
    <w:rsid w:val="00D45661"/>
    <w:rsid w:val="00D45943"/>
    <w:rsid w:val="00D47D22"/>
    <w:rsid w:val="00D51865"/>
    <w:rsid w:val="00D51D0C"/>
    <w:rsid w:val="00D7106B"/>
    <w:rsid w:val="00D74140"/>
    <w:rsid w:val="00D82AAC"/>
    <w:rsid w:val="00DA0855"/>
    <w:rsid w:val="00DA1BCB"/>
    <w:rsid w:val="00DA6E56"/>
    <w:rsid w:val="00DB4250"/>
    <w:rsid w:val="00DC6705"/>
    <w:rsid w:val="00DD2DE8"/>
    <w:rsid w:val="00DE03A1"/>
    <w:rsid w:val="00DE38B4"/>
    <w:rsid w:val="00DE5D02"/>
    <w:rsid w:val="00DF04B3"/>
    <w:rsid w:val="00E005A9"/>
    <w:rsid w:val="00E0754F"/>
    <w:rsid w:val="00E1166E"/>
    <w:rsid w:val="00E24DC0"/>
    <w:rsid w:val="00E2519C"/>
    <w:rsid w:val="00E25F2A"/>
    <w:rsid w:val="00E41455"/>
    <w:rsid w:val="00E42AD2"/>
    <w:rsid w:val="00E50856"/>
    <w:rsid w:val="00E538CC"/>
    <w:rsid w:val="00E54DBA"/>
    <w:rsid w:val="00E63D7C"/>
    <w:rsid w:val="00E640D5"/>
    <w:rsid w:val="00E66E2E"/>
    <w:rsid w:val="00E67691"/>
    <w:rsid w:val="00E7027A"/>
    <w:rsid w:val="00E762DF"/>
    <w:rsid w:val="00E92237"/>
    <w:rsid w:val="00E951EF"/>
    <w:rsid w:val="00EA3D54"/>
    <w:rsid w:val="00EA56D9"/>
    <w:rsid w:val="00EA5CE3"/>
    <w:rsid w:val="00EB51C1"/>
    <w:rsid w:val="00EB5AE1"/>
    <w:rsid w:val="00EB5E0B"/>
    <w:rsid w:val="00EC2171"/>
    <w:rsid w:val="00ED442D"/>
    <w:rsid w:val="00ED55BA"/>
    <w:rsid w:val="00ED70C2"/>
    <w:rsid w:val="00ED7DD4"/>
    <w:rsid w:val="00EE18FF"/>
    <w:rsid w:val="00EE2F73"/>
    <w:rsid w:val="00EE489F"/>
    <w:rsid w:val="00EE5156"/>
    <w:rsid w:val="00F0647F"/>
    <w:rsid w:val="00F104B6"/>
    <w:rsid w:val="00F10CE3"/>
    <w:rsid w:val="00F14F3B"/>
    <w:rsid w:val="00F16362"/>
    <w:rsid w:val="00F207C7"/>
    <w:rsid w:val="00F24118"/>
    <w:rsid w:val="00F36B6D"/>
    <w:rsid w:val="00F43FA3"/>
    <w:rsid w:val="00F55648"/>
    <w:rsid w:val="00F6389D"/>
    <w:rsid w:val="00F65B35"/>
    <w:rsid w:val="00F70046"/>
    <w:rsid w:val="00F723A4"/>
    <w:rsid w:val="00F73AC7"/>
    <w:rsid w:val="00F748C2"/>
    <w:rsid w:val="00F75D7B"/>
    <w:rsid w:val="00F76C5C"/>
    <w:rsid w:val="00F81EF3"/>
    <w:rsid w:val="00F84496"/>
    <w:rsid w:val="00F85DCB"/>
    <w:rsid w:val="00F86F9C"/>
    <w:rsid w:val="00F875CC"/>
    <w:rsid w:val="00F90D76"/>
    <w:rsid w:val="00F94048"/>
    <w:rsid w:val="00FA7EB2"/>
    <w:rsid w:val="00FC002E"/>
    <w:rsid w:val="00FC19C2"/>
    <w:rsid w:val="00FC4C23"/>
    <w:rsid w:val="00FC642E"/>
    <w:rsid w:val="00FE2AE4"/>
    <w:rsid w:val="00FE4DEF"/>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524C2B5"/>
  <w15:docId w15:val="{F3FD61F7-56FD-476A-AC9E-C8A0378F7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890E61"/>
    <w:pPr>
      <w:spacing w:before="0" w:beforeAutospacing="0" w:after="0" w:afterAutospacing="0"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890E61"/>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FE4DEF"/>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E4DEF"/>
    <w:rPr>
      <w:color w:val="800080"/>
      <w:u w:val="single"/>
    </w:rPr>
  </w:style>
  <w:style w:type="character" w:styleId="CommentReference">
    <w:name w:val="annotation reference"/>
    <w:basedOn w:val="DefaultParagraphFont"/>
    <w:uiPriority w:val="99"/>
    <w:semiHidden/>
    <w:unhideWhenUsed/>
    <w:rsid w:val="00683A1A"/>
    <w:rPr>
      <w:sz w:val="16"/>
      <w:szCs w:val="16"/>
    </w:rPr>
  </w:style>
  <w:style w:type="paragraph" w:styleId="CommentText">
    <w:name w:val="annotation text"/>
    <w:basedOn w:val="Normal"/>
    <w:link w:val="CommentTextChar"/>
    <w:uiPriority w:val="99"/>
    <w:semiHidden/>
    <w:unhideWhenUsed/>
    <w:rsid w:val="00683A1A"/>
    <w:pPr>
      <w:spacing w:line="240" w:lineRule="auto"/>
    </w:pPr>
    <w:rPr>
      <w:sz w:val="20"/>
      <w:szCs w:val="20"/>
    </w:rPr>
  </w:style>
  <w:style w:type="character" w:customStyle="1" w:styleId="CommentTextChar">
    <w:name w:val="Comment Text Char"/>
    <w:basedOn w:val="DefaultParagraphFont"/>
    <w:link w:val="CommentText"/>
    <w:uiPriority w:val="99"/>
    <w:semiHidden/>
    <w:rsid w:val="00683A1A"/>
    <w:rPr>
      <w:sz w:val="20"/>
      <w:szCs w:val="20"/>
    </w:rPr>
  </w:style>
  <w:style w:type="paragraph" w:styleId="CommentSubject">
    <w:name w:val="annotation subject"/>
    <w:basedOn w:val="CommentText"/>
    <w:next w:val="CommentText"/>
    <w:link w:val="CommentSubjectChar"/>
    <w:uiPriority w:val="99"/>
    <w:semiHidden/>
    <w:unhideWhenUsed/>
    <w:rsid w:val="00683A1A"/>
    <w:rPr>
      <w:b/>
      <w:bCs/>
    </w:rPr>
  </w:style>
  <w:style w:type="character" w:customStyle="1" w:styleId="CommentSubjectChar">
    <w:name w:val="Comment Subject Char"/>
    <w:basedOn w:val="CommentTextChar"/>
    <w:link w:val="CommentSubject"/>
    <w:uiPriority w:val="99"/>
    <w:semiHidden/>
    <w:rsid w:val="00683A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creativecommons.org/licenses/by-nc-nd/4.0/legal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mailto:cdi.editor@health.gov.a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cdi.editor@health.gov.au" TargetMode="External"/><Relationship Id="rId35"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CE125-51B1-43BD-A648-536D58F1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7</TotalTime>
  <Pages>39</Pages>
  <Words>11211</Words>
  <Characters>67570</Characters>
  <Application>Microsoft Office Word</Application>
  <DocSecurity>0</DocSecurity>
  <Lines>563</Lines>
  <Paragraphs>157</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24 Fortnightly reporting period ending 30 August 2020</vt:lpstr>
    </vt:vector>
  </TitlesOfParts>
  <Company>Australian Government, Department of Health</Company>
  <LinksUpToDate>false</LinksUpToDate>
  <CharactersWithSpaces>78624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24 Fortnightly reporting period ending 30 August 2020</dc:title>
  <dc:subject>This is the twenty-fourth epidemiological report for coronavirus disease 2019 (COVID-19), reported in Australia as at 23:59 Australian Eastern Standard Time [AEST] 30 August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14</cp:revision>
  <cp:lastPrinted>2018-05-10T02:19:00Z</cp:lastPrinted>
  <dcterms:created xsi:type="dcterms:W3CDTF">2020-09-08T06:59:00Z</dcterms:created>
  <dcterms:modified xsi:type="dcterms:W3CDTF">2020-09-08T23:56:00Z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9/9/2020</vt:lpwstr>
  </property>
  <property fmtid="{D5CDD505-2E9C-101B-9397-08002B2CF9AE}" pid="5" name="DOI">
    <vt:lpwstr>https://doi.org/10.33321/10.33321/cdi.2020.44.75</vt:lpwstr>
  </property>
</Properties>
</file>